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微软雅黑" w:hAnsi="微软雅黑" w:eastAsia="微软雅黑" w:cs="微软雅黑"/>
          <w:b/>
          <w:bCs/>
          <w:i w:val="0"/>
          <w:caps w:val="0"/>
          <w:color w:val="000000" w:themeColor="text1"/>
          <w:spacing w:val="0"/>
          <w:sz w:val="28"/>
          <w:szCs w:val="28"/>
          <w:u w:val="none"/>
          <w:bdr w:val="none" w:color="auto" w:sz="0" w:space="0"/>
          <w14:textFill>
            <w14:solidFill>
              <w14:schemeClr w14:val="tx1"/>
            </w14:solidFill>
          </w14:textFill>
        </w:rPr>
      </w:pPr>
      <w:r>
        <w:rPr>
          <w:rFonts w:hint="eastAsia" w:ascii="微软雅黑" w:hAnsi="微软雅黑" w:eastAsia="微软雅黑" w:cs="微软雅黑"/>
          <w:b/>
          <w:bCs/>
          <w:i w:val="0"/>
          <w:caps w:val="0"/>
          <w:color w:val="000000" w:themeColor="text1"/>
          <w:spacing w:val="0"/>
          <w:sz w:val="28"/>
          <w:szCs w:val="28"/>
          <w:u w:val="none"/>
          <w:bdr w:val="none" w:color="auto" w:sz="0" w:space="0"/>
          <w14:textFill>
            <w14:solidFill>
              <w14:schemeClr w14:val="tx1"/>
            </w14:solidFill>
          </w14:textFill>
        </w:rPr>
        <w:t>中共中央办公厅 国务院办公厅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微软雅黑" w:hAnsi="微软雅黑" w:eastAsia="微软雅黑" w:cs="微软雅黑"/>
          <w:b/>
          <w:bCs/>
          <w:i w:val="0"/>
          <w:caps w:val="0"/>
          <w:color w:val="000000" w:themeColor="text1"/>
          <w:spacing w:val="0"/>
          <w:sz w:val="28"/>
          <w:szCs w:val="28"/>
          <w:u w:val="none"/>
          <w:bdr w:val="none" w:color="auto" w:sz="0" w:space="0"/>
          <w14:textFill>
            <w14:solidFill>
              <w14:schemeClr w14:val="tx1"/>
            </w14:solidFill>
          </w14:textFill>
        </w:rPr>
      </w:pPr>
      <w:r>
        <w:rPr>
          <w:rFonts w:hint="eastAsia" w:ascii="微软雅黑" w:hAnsi="微软雅黑" w:eastAsia="微软雅黑" w:cs="微软雅黑"/>
          <w:b/>
          <w:bCs/>
          <w:i w:val="0"/>
          <w:caps w:val="0"/>
          <w:color w:val="000000" w:themeColor="text1"/>
          <w:spacing w:val="0"/>
          <w:sz w:val="28"/>
          <w:szCs w:val="28"/>
          <w:u w:val="none"/>
          <w:bdr w:val="none" w:color="auto" w:sz="0" w:space="0"/>
          <w14:textFill>
            <w14:solidFill>
              <w14:schemeClr w14:val="tx1"/>
            </w14:solidFill>
          </w14:textFill>
        </w:rPr>
        <w:t>印发《关于深化项目评审、人才评价、机构评估改革的意见》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right="0" w:firstLine="560" w:firstLineChars="200"/>
        <w:jc w:val="left"/>
        <w:textAlignment w:val="auto"/>
        <w:outlineLvl w:val="9"/>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right="0" w:firstLine="560" w:firstLineChars="20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项目评审、人才评价、机构评估（以下简称“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指导思想。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为提升我国科技创新能力、加快建设创新型国家和世界科技强国提供有力的制度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——坚持尊重规律。遵循科技人才发展和科研规律，科学设立评价目标、指标、方法，引导科研人员潜心</w:t>
      </w:r>
      <w:bookmarkStart w:id="0" w:name="_GoBack"/>
      <w:bookmarkEnd w:id="0"/>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研究、追求卓越。加强顶层设计，统筹和精简“三评”工作，简化优化流程，为科研人员和机构松绑减负，并形成长效机制。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——坚持问题导向。聚焦“三评”工作中存在的突出问题，从破除体制机制障碍入手，找准突破口，更加注重质量、贡献、绩效，树立正确评价导向，增强针对性，突出实招硬招，提高改革的含金量和实效性。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坚持分类评价。针对自然科学、哲学社会科学、军事科学等不同学科门类特点，建立分类评价指标体系和评价程序规范。基础前沿研究突出原创导向，以同行评议为主；社会公益性研究突出需求导向，以行业用户和社会评价为主；应用技术开发和成果转化评价突出企业主体、市场导向，以用户评价、第三方评价和市场绩效为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坚持客观公正。客观、真实、准确反映不同评价对象的实际情况，推行同行评价，引入国际评价，进一步提高科技评价活动的公开性和开放性，保证评价工作的独立性和公正性，确保评价结果的科学性和客观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作出更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二、优化科研项目评审管理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完善项目指南编制和发布机制。国家科技计划项目指南编制工作应采取有效方式充分吸收相关部门、行业、地方以及产业界、科技社团、社会公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择优或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取活跃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五）严格项目成果评价验收。项目承担单位对本单位科研成果管理负主体责任，要组织对本单位科研人员拟公布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行考核评价。有明确应用要求的，在项目验收后不定期组织对成果应用情况的现场抽查、后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六）加强国家科技计划绩效评估。针对科技计划整体情况组织开展绩效评估，重点评估计划目标完成、管理、产出、效果、影响等绩效。绩效评估通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奖实行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三、改进科技人才评价方式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统筹科技人才计划。加强部门、地方的协调，建立人才项目申报查重及处理机制，防止人才申报违规行为，避免多个类似人才项目同时支持同一人才。指导部门、地方针对不同支持对象科学设置科技人才计划，优化人才计划结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SCI（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三）树立正确的人才评价使用导向。坚持正确价值导向，不把人才荣誉性称号作为承担各类国家科技计划项目、获得国家科技奖励、职称评定、岗位聘用、薪酬待遇确定的限制性条件，使人才称号回归学术性、荣誉性本质，避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四）强化用人单位人才评价主体地位。坚持评用结合，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人才称号确定薪酬待遇、配置学术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四、完善科研机构评估制度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实行章程管理。推动中央级科研事业单位制定实施章程，确立章程在单位管理运行中的基础性制度地位，实现“一院（所）一章程”和依章程管理。章程要明确规定单位的宗旨目标、功能定位、业务范围、领导体制、运行管理机制等，确保机构运行各项事务有章可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研事业单位依法合规管理运行。切实发挥单位党委（党组）把方向、管大局、保落实的重要作用，坚决防止党的领导弱化、党的建设缺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5年为评价周期，对科研事业单位开展综合评价，涵盖职责定位、科技产出、创新效益等方面。5年期间，每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五、加强监督评估和科研诚信体系建设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结果作为对相关主体今后监督管理和动态调整的重要参考。建立学术期刊预警监测制度，定期发布学术期刊预警名单和黑名单。加强与纪检监察机关等的信息沟通，自觉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六、加强组织实施，确保政策措施落地见效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二）强化责任担当。各相关评价主体要强化责任意识，敢于担当，切实推进“三评”改革政策措施落实落地。各有关部门要深化“放管服”改革，进一步减少“三评”项目数量，加强监管，优化服务。各项目管理专业机构要切实履行监督管理职责，各法人单位、学（协）会要完善内部管理，广大科研人员要强化学术自律。各方面要齐心协力，共同营造良好科研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三）加大推进力度。加强政府部门、用人单位、学术共同体、第三方评估机构等各类评价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sz w:val="28"/>
          <w:szCs w:val="28"/>
          <w:u w:val="none"/>
          <w:bdr w:val="none" w:color="auto" w:sz="0" w:space="0"/>
          <w14:textFill>
            <w14:solidFill>
              <w14:schemeClr w14:val="tx1"/>
            </w14:solidFill>
          </w14:textFill>
        </w:rPr>
        <w:t>　　（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米开飘逸行楷">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5657F"/>
    <w:rsid w:val="2485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2018-07-14T13:03:00Z</dcterms:created>
  <dc:creator>高清军</dc:creator>
  <cp:lastModifiedBy>高清军</cp:lastModifiedBy>
  <dcterms:modified xsi:type="dcterms:W3CDTF">2018-07-14T13:05:28Z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