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20BB78C">
      <w:pPr>
        <w:pStyle w:val="style0"/>
        <w:spacing w:lineRule="auto" w:line="288"/>
        <w:jc w:val="center"/>
        <w:rPr>
          <w:lang w:eastAsia="zh-CN"/>
        </w:rPr>
      </w:pPr>
      <w:r>
        <w:rPr>
          <w:rFonts w:eastAsia="黑体" w:hint="eastAsia"/>
          <w:b/>
          <w:sz w:val="36"/>
          <w:lang w:eastAsia="zh-CN"/>
        </w:rPr>
        <w:t>江苏</w:t>
      </w:r>
      <w:r>
        <w:rPr>
          <w:rFonts w:eastAsia="黑体"/>
          <w:b/>
          <w:sz w:val="36"/>
          <w:lang w:eastAsia="zh-CN"/>
        </w:rPr>
        <w:t>省自动化学会科学技术奖公示信息表</w:t>
      </w:r>
    </w:p>
    <w:p w14:paraId="768D61E7">
      <w:pPr>
        <w:pStyle w:val="style0"/>
        <w:spacing w:after="280" w:lineRule="auto" w:line="288"/>
        <w:jc w:val="center"/>
        <w:rPr>
          <w:lang w:eastAsia="zh-CN"/>
        </w:rPr>
      </w:pPr>
      <w:r>
        <w:rPr>
          <w:sz w:val="24"/>
          <w:lang w:eastAsia="zh-CN"/>
        </w:rPr>
        <w:t>（单位提名）</w:t>
      </w:r>
    </w:p>
    <w:p w14:paraId="28F1D846">
      <w:pPr>
        <w:pStyle w:val="style0"/>
        <w:spacing w:after="40" w:lineRule="auto" w:line="312"/>
        <w:rPr>
          <w:lang w:eastAsia="zh-CN"/>
        </w:rPr>
      </w:pPr>
      <w:r>
        <w:rPr>
          <w:sz w:val="24"/>
          <w:lang w:eastAsia="zh-CN"/>
        </w:rPr>
        <w:t>提名奖项：</w:t>
      </w:r>
      <w:r>
        <w:rPr>
          <w:rFonts w:hint="eastAsia"/>
          <w:sz w:val="24"/>
          <w:lang w:eastAsia="zh-CN"/>
        </w:rPr>
        <w:t>科学技术</w:t>
      </w:r>
      <w:r>
        <w:rPr>
          <w:sz w:val="24"/>
          <w:lang w:eastAsia="zh-CN"/>
        </w:rPr>
        <w:t>奖</w:t>
      </w:r>
    </w:p>
    <w:tbl>
      <w:tblPr>
        <w:tblStyle w:val="style154"/>
        <w:tblW w:w="0" w:type="auto"/>
        <w:jc w:val="center"/>
        <w:tblLayout w:type="fixed"/>
        <w:tblLook w:val="04A0" w:firstRow="1" w:lastRow="0" w:firstColumn="1" w:lastColumn="0" w:noHBand="0" w:noVBand="1"/>
      </w:tblPr>
      <w:tblGrid>
        <w:gridCol w:w="1928"/>
        <w:gridCol w:w="7257"/>
      </w:tblGrid>
      <w:tr w14:paraId="15963D65">
        <w:trPr>
          <w:jc w:val="center"/>
        </w:trPr>
        <w:tc>
          <w:tcPr>
            <w:tcW w:w="1928" w:type="dxa"/>
            <w:tcBorders/>
            <w:vAlign w:val="center"/>
          </w:tcPr>
          <w:p w14:paraId="6102CAEC">
            <w:pPr>
              <w:pStyle w:val="style0"/>
              <w:spacing w:lineRule="auto" w:line="312"/>
              <w:jc w:val="center"/>
              <w:rPr>
                <w:sz w:val="24"/>
                <w:szCs w:val="24"/>
              </w:rPr>
            </w:pPr>
            <w:r>
              <w:rPr>
                <w:sz w:val="24"/>
                <w:szCs w:val="24"/>
              </w:rPr>
              <w:t>成果名称</w:t>
            </w:r>
          </w:p>
        </w:tc>
        <w:tc>
          <w:tcPr>
            <w:tcW w:w="7257" w:type="dxa"/>
            <w:tcBorders/>
            <w:vAlign w:val="center"/>
          </w:tcPr>
          <w:p w14:paraId="432FA33D">
            <w:pPr>
              <w:pStyle w:val="style0"/>
              <w:spacing w:lineRule="auto" w:line="360"/>
              <w:jc w:val="center"/>
              <w:rPr>
                <w:sz w:val="24"/>
                <w:szCs w:val="24"/>
                <w:lang w:eastAsia="zh-CN"/>
              </w:rPr>
            </w:pPr>
            <w:r>
              <w:rPr>
                <w:sz w:val="24"/>
                <w:szCs w:val="24"/>
                <w:lang w:eastAsia="zh-CN"/>
              </w:rPr>
              <w:t>复杂非线性信息物理系统故障与攻击诊断和安全调控</w:t>
            </w:r>
          </w:p>
        </w:tc>
      </w:tr>
      <w:tr w14:paraId="3BE75B50">
        <w:tblPrEx/>
        <w:trPr>
          <w:jc w:val="center"/>
        </w:trPr>
        <w:tc>
          <w:tcPr>
            <w:tcW w:w="1928" w:type="dxa"/>
            <w:tcBorders/>
            <w:vAlign w:val="center"/>
          </w:tcPr>
          <w:p w14:paraId="3FBE0430">
            <w:pPr>
              <w:pStyle w:val="style0"/>
              <w:spacing w:lineRule="auto" w:line="312"/>
              <w:jc w:val="center"/>
              <w:rPr>
                <w:sz w:val="24"/>
                <w:szCs w:val="24"/>
              </w:rPr>
            </w:pPr>
            <w:r>
              <w:rPr>
                <w:sz w:val="24"/>
                <w:szCs w:val="24"/>
              </w:rPr>
              <w:t>提名等级</w:t>
            </w:r>
          </w:p>
        </w:tc>
        <w:tc>
          <w:tcPr>
            <w:tcW w:w="7257" w:type="dxa"/>
            <w:tcBorders/>
            <w:vAlign w:val="center"/>
          </w:tcPr>
          <w:p w14:paraId="77B37DA0">
            <w:pPr>
              <w:pStyle w:val="style0"/>
              <w:spacing w:lineRule="auto" w:line="360"/>
              <w:jc w:val="center"/>
              <w:rPr>
                <w:sz w:val="24"/>
                <w:szCs w:val="24"/>
              </w:rPr>
            </w:pPr>
            <w:r>
              <w:rPr>
                <w:sz w:val="24"/>
                <w:szCs w:val="24"/>
              </w:rPr>
              <w:t>一等奖</w:t>
            </w:r>
          </w:p>
        </w:tc>
      </w:tr>
      <w:tr w14:paraId="09C630B5">
        <w:tblPrEx/>
        <w:trPr>
          <w:jc w:val="center"/>
        </w:trPr>
        <w:tc>
          <w:tcPr>
            <w:tcW w:w="1928" w:type="dxa"/>
            <w:tcBorders/>
            <w:vAlign w:val="center"/>
          </w:tcPr>
          <w:p w14:paraId="35A6CD07">
            <w:pPr>
              <w:pStyle w:val="style0"/>
              <w:spacing w:lineRule="auto" w:line="312"/>
              <w:jc w:val="center"/>
              <w:rPr>
                <w:sz w:val="24"/>
                <w:szCs w:val="24"/>
              </w:rPr>
            </w:pPr>
            <w:r>
              <w:rPr>
                <w:sz w:val="24"/>
                <w:szCs w:val="24"/>
              </w:rPr>
              <w:t>提名书</w:t>
            </w:r>
            <w:r>
              <w:rPr>
                <w:sz w:val="24"/>
                <w:szCs w:val="24"/>
              </w:rPr>
              <w:br/>
            </w:r>
            <w:r>
              <w:rPr>
                <w:sz w:val="24"/>
                <w:szCs w:val="24"/>
              </w:rPr>
              <w:t>相关内容</w:t>
            </w:r>
          </w:p>
        </w:tc>
        <w:tc>
          <w:tcPr>
            <w:tcW w:w="7257" w:type="dxa"/>
            <w:tcBorders/>
            <w:vAlign w:val="center"/>
          </w:tcPr>
          <w:p w14:paraId="34A2468C">
            <w:pPr>
              <w:pStyle w:val="style0"/>
              <w:spacing w:lineRule="auto" w:line="360"/>
              <w:rPr>
                <w:sz w:val="24"/>
                <w:szCs w:val="24"/>
                <w:lang w:eastAsia="zh-CN"/>
              </w:rPr>
            </w:pPr>
            <w:r>
              <w:rPr>
                <w:sz w:val="24"/>
                <w:szCs w:val="24"/>
              </w:rPr>
              <w:t>代表性论文</w:t>
            </w:r>
          </w:p>
          <w:p w14:paraId="4C050451">
            <w:pPr>
              <w:pStyle w:val="style0"/>
              <w:spacing w:lineRule="auto" w:line="360"/>
              <w:rPr>
                <w:sz w:val="24"/>
                <w:szCs w:val="24"/>
                <w:lang w:eastAsia="zh-CN"/>
              </w:rPr>
            </w:pPr>
            <w:r>
              <w:rPr>
                <w:rFonts w:hint="eastAsia"/>
                <w:sz w:val="24"/>
                <w:szCs w:val="24"/>
                <w:lang w:eastAsia="zh-CN"/>
              </w:rPr>
              <w:t>1.</w:t>
            </w:r>
            <w:r>
              <w:rPr>
                <w:rFonts w:hint="eastAsia"/>
                <w:sz w:val="24"/>
                <w:szCs w:val="24"/>
              </w:rPr>
              <w:t>Incipient fault detection for traction motors of high-speed railways using an interval sliding mode observer, IEEE Transactions on Intelligent Transportation Systems, Kangkang Zhang ; Bin Jiang; Xinggang Yan; Zehui Mao</w:t>
            </w:r>
          </w:p>
          <w:p w14:paraId="77836499">
            <w:pPr>
              <w:pStyle w:val="style0"/>
              <w:spacing w:lineRule="auto" w:line="360"/>
              <w:rPr>
                <w:sz w:val="24"/>
                <w:szCs w:val="24"/>
                <w:lang w:eastAsia="zh-CN"/>
              </w:rPr>
            </w:pPr>
            <w:r>
              <w:rPr>
                <w:rFonts w:hint="eastAsia"/>
                <w:sz w:val="24"/>
                <w:szCs w:val="24"/>
                <w:lang w:eastAsia="zh-CN"/>
              </w:rPr>
              <w:t>2.</w:t>
            </w:r>
            <w:r>
              <w:rPr>
                <w:rFonts w:hint="eastAsia"/>
                <w:sz w:val="24"/>
                <w:szCs w:val="24"/>
              </w:rPr>
              <w:t>Incipient voltage sensor fault isolation for rectifier in railway electrical traction systems, IEEE Transactions on Industrial Electronics, Kangkang Zhang; Bin Jiang; Xinggang Yan; Zehui Mao</w:t>
            </w:r>
          </w:p>
          <w:p w14:paraId="06B7453C">
            <w:pPr>
              <w:pStyle w:val="style0"/>
              <w:spacing w:lineRule="auto" w:line="360"/>
              <w:rPr>
                <w:sz w:val="24"/>
                <w:szCs w:val="24"/>
                <w:lang w:eastAsia="zh-CN"/>
              </w:rPr>
            </w:pPr>
            <w:r>
              <w:rPr>
                <w:rFonts w:hint="eastAsia"/>
                <w:sz w:val="24"/>
                <w:szCs w:val="24"/>
                <w:lang w:eastAsia="zh-CN"/>
              </w:rPr>
              <w:t>3.</w:t>
            </w:r>
            <w:r>
              <w:rPr>
                <w:rFonts w:hint="eastAsia"/>
                <w:sz w:val="24"/>
                <w:szCs w:val="24"/>
              </w:rPr>
              <w:t>Interval Sliding Mode Observer Based Incipient Sensor Fault Detection With Application to a Traction Device in China Railway High-Speed,  IEEE Transactions on Vehicular Technology, Kangkang Zhang ; Bin Jiang; Xinggang Yan; Zehui Mao</w:t>
            </w:r>
          </w:p>
          <w:p w14:paraId="3FE7C7D1">
            <w:pPr>
              <w:pStyle w:val="style0"/>
              <w:spacing w:lineRule="auto" w:line="360"/>
              <w:rPr>
                <w:sz w:val="24"/>
                <w:szCs w:val="24"/>
              </w:rPr>
            </w:pPr>
            <w:r>
              <w:rPr>
                <w:rFonts w:hint="eastAsia"/>
                <w:sz w:val="24"/>
                <w:szCs w:val="24"/>
                <w:lang w:eastAsia="zh-CN"/>
              </w:rPr>
              <w:t>4.</w:t>
            </w:r>
            <w:r>
              <w:rPr>
                <w:rFonts w:hint="eastAsia"/>
                <w:sz w:val="24"/>
                <w:szCs w:val="24"/>
              </w:rPr>
              <w:t>Fault-tolerant control for systems with unmatched actuator faults and disturbances, IEEE Transactions on Automatic Control, Kangkang Zhang, Bin Jiang, Xinggang Yan, Zehui Mao and Marios, Polycarpou</w:t>
            </w:r>
          </w:p>
          <w:p w14:paraId="39E97F88">
            <w:pPr>
              <w:pStyle w:val="style0"/>
              <w:spacing w:lineRule="auto" w:line="360"/>
              <w:rPr>
                <w:sz w:val="24"/>
                <w:szCs w:val="24"/>
              </w:rPr>
            </w:pPr>
            <w:r>
              <w:rPr>
                <w:rFonts w:hint="eastAsia"/>
                <w:sz w:val="24"/>
                <w:szCs w:val="24"/>
                <w:lang w:eastAsia="zh-CN"/>
              </w:rPr>
              <w:t>5.</w:t>
            </w:r>
            <w:r>
              <w:rPr>
                <w:rFonts w:hint="eastAsia"/>
                <w:sz w:val="24"/>
                <w:szCs w:val="24"/>
              </w:rPr>
              <w:t>Fault-tolerant control of multilayer interconnected nonlinear systems: An inclusion principle approach. IEEE Transactions on Systems, Man, and Cybernetics: Systems Xu, Yuhang, Bin Jiang, and Hao Yang</w:t>
            </w:r>
          </w:p>
          <w:p w14:paraId="013BE5FA">
            <w:pPr>
              <w:pStyle w:val="style0"/>
              <w:spacing w:lineRule="auto" w:line="360"/>
              <w:rPr>
                <w:sz w:val="24"/>
                <w:szCs w:val="24"/>
                <w:lang w:eastAsia="zh-CN"/>
              </w:rPr>
            </w:pPr>
            <w:r>
              <w:rPr>
                <w:rFonts w:hint="eastAsia"/>
                <w:sz w:val="24"/>
                <w:szCs w:val="24"/>
                <w:lang w:eastAsia="zh-CN"/>
              </w:rPr>
              <w:t>6.</w:t>
            </w:r>
            <w:r>
              <w:rPr>
                <w:rFonts w:hint="eastAsia"/>
                <w:sz w:val="24"/>
                <w:szCs w:val="24"/>
              </w:rPr>
              <w:t>Stealthy integrity attacks for a class of nonlinear cyber-physical systems." IEEE Transactions on Automatic Control</w:t>
            </w:r>
            <w:r>
              <w:rPr>
                <w:rFonts w:hint="eastAsia"/>
                <w:sz w:val="24"/>
                <w:szCs w:val="24"/>
              </w:rPr>
              <w:t>，</w:t>
            </w:r>
            <w:r>
              <w:rPr>
                <w:rFonts w:hint="eastAsia"/>
                <w:sz w:val="24"/>
                <w:szCs w:val="24"/>
              </w:rPr>
              <w:t>Zhang Kangkang , Kasis, Andreas, Parisini  Thomas, and Polycarpou Marios M.</w:t>
            </w:r>
          </w:p>
          <w:p w14:paraId="78B98EE2">
            <w:pPr>
              <w:pStyle w:val="style0"/>
              <w:spacing w:lineRule="auto" w:line="360"/>
              <w:rPr>
                <w:sz w:val="24"/>
                <w:szCs w:val="24"/>
                <w:lang w:eastAsia="zh-CN"/>
              </w:rPr>
            </w:pPr>
            <w:r>
              <w:rPr>
                <w:rFonts w:hint="eastAsia"/>
                <w:sz w:val="24"/>
                <w:szCs w:val="24"/>
                <w:lang w:eastAsia="zh-CN"/>
              </w:rPr>
              <w:t>7.</w:t>
            </w:r>
            <w:r>
              <w:rPr>
                <w:rFonts w:hint="eastAsia"/>
                <w:sz w:val="24"/>
                <w:szCs w:val="24"/>
              </w:rPr>
              <w:t>Detecting stealthy integrity attacks in a class of nonlinear cyber</w:t>
            </w:r>
            <w:r>
              <w:rPr>
                <w:rFonts w:hint="eastAsia"/>
                <w:sz w:val="24"/>
                <w:szCs w:val="24"/>
              </w:rPr>
              <w:t>–</w:t>
            </w:r>
            <w:r>
              <w:rPr>
                <w:rFonts w:hint="eastAsia"/>
                <w:sz w:val="24"/>
                <w:szCs w:val="24"/>
              </w:rPr>
              <w:t xml:space="preserve">physical systems: A backward-in-time approach. Automatica </w:t>
            </w:r>
            <w:r>
              <w:rPr>
                <w:rFonts w:hint="eastAsia"/>
                <w:sz w:val="24"/>
                <w:szCs w:val="24"/>
              </w:rPr>
              <w:t>，</w:t>
            </w:r>
            <w:r>
              <w:rPr>
                <w:rFonts w:hint="eastAsia"/>
                <w:sz w:val="24"/>
                <w:szCs w:val="24"/>
              </w:rPr>
              <w:t>Zhang Kangkang , Kasis, Andreas, Parisini  Thomas, and Polycarpou Marios M.</w:t>
            </w:r>
          </w:p>
          <w:p w14:paraId="01AB780E">
            <w:pPr>
              <w:pStyle w:val="style0"/>
              <w:spacing w:lineRule="auto" w:line="360"/>
              <w:rPr>
                <w:sz w:val="24"/>
                <w:szCs w:val="24"/>
              </w:rPr>
            </w:pPr>
            <w:r>
              <w:rPr>
                <w:rFonts w:hint="eastAsia"/>
                <w:sz w:val="24"/>
                <w:szCs w:val="24"/>
                <w:lang w:eastAsia="zh-CN"/>
              </w:rPr>
              <w:t>8.</w:t>
            </w:r>
            <w:r>
              <w:rPr>
                <w:rFonts w:hint="eastAsia"/>
                <w:sz w:val="24"/>
                <w:szCs w:val="24"/>
              </w:rPr>
              <w:t xml:space="preserve">Threat Discrimination Between Attacks and Faults for a Class of Nonlinear Systems, IEEE Transactions on Automatic Control , Zhang </w:t>
            </w:r>
            <w:r>
              <w:rPr>
                <w:rFonts w:hint="eastAsia"/>
                <w:sz w:val="24"/>
                <w:szCs w:val="24"/>
              </w:rPr>
              <w:t>Kangkang , Kasis, Andreas, Parisini  Thomas, and Polycarpou Marios M.</w:t>
            </w:r>
          </w:p>
          <w:p w14:paraId="2A914D68">
            <w:pPr>
              <w:pStyle w:val="style0"/>
              <w:spacing w:lineRule="auto" w:line="360"/>
              <w:rPr>
                <w:sz w:val="24"/>
                <w:szCs w:val="24"/>
              </w:rPr>
            </w:pPr>
          </w:p>
          <w:p w14:paraId="4D5C25A3">
            <w:pPr>
              <w:pStyle w:val="style0"/>
              <w:spacing w:lineRule="auto" w:line="360"/>
              <w:rPr>
                <w:sz w:val="24"/>
                <w:szCs w:val="24"/>
                <w:lang w:eastAsia="zh-CN"/>
              </w:rPr>
            </w:pPr>
          </w:p>
        </w:tc>
      </w:tr>
      <w:tr w14:paraId="4926EC2D">
        <w:tblPrEx/>
        <w:trPr>
          <w:jc w:val="center"/>
        </w:trPr>
        <w:tc>
          <w:tcPr>
            <w:tcW w:w="1928" w:type="dxa"/>
            <w:tcBorders/>
            <w:vAlign w:val="center"/>
          </w:tcPr>
          <w:p w14:paraId="13474ACD">
            <w:pPr>
              <w:pStyle w:val="style0"/>
              <w:spacing w:lineRule="auto" w:line="312"/>
              <w:jc w:val="center"/>
              <w:rPr>
                <w:sz w:val="24"/>
                <w:szCs w:val="24"/>
              </w:rPr>
            </w:pPr>
            <w:r>
              <w:rPr>
                <w:sz w:val="24"/>
                <w:szCs w:val="24"/>
              </w:rPr>
              <w:t>主要完成</w:t>
            </w:r>
            <w:r>
              <w:rPr>
                <w:sz w:val="24"/>
                <w:szCs w:val="24"/>
              </w:rPr>
              <w:br/>
            </w:r>
            <w:r>
              <w:rPr>
                <w:sz w:val="24"/>
                <w:szCs w:val="24"/>
              </w:rPr>
              <w:t>人</w:t>
            </w:r>
          </w:p>
        </w:tc>
        <w:tc>
          <w:tcPr>
            <w:tcW w:w="7257" w:type="dxa"/>
            <w:tcBorders/>
            <w:vAlign w:val="center"/>
          </w:tcPr>
          <w:p w14:paraId="3A387F2F">
            <w:pPr>
              <w:pStyle w:val="style0"/>
              <w:spacing w:lineRule="auto" w:line="360"/>
              <w:rPr>
                <w:sz w:val="24"/>
                <w:szCs w:val="24"/>
                <w:lang w:eastAsia="zh-CN"/>
              </w:rPr>
            </w:pPr>
            <w:r>
              <w:rPr>
                <w:rFonts w:hint="eastAsia"/>
                <w:sz w:val="24"/>
                <w:szCs w:val="24"/>
                <w:lang w:eastAsia="zh-CN"/>
              </w:rPr>
              <w:t>张康康</w:t>
            </w:r>
            <w:r>
              <w:rPr>
                <w:sz w:val="24"/>
                <w:szCs w:val="24"/>
                <w:lang w:eastAsia="zh-CN"/>
              </w:rPr>
              <w:t>，</w:t>
            </w:r>
            <w:r>
              <w:rPr>
                <w:rFonts w:hint="eastAsia"/>
                <w:sz w:val="24"/>
                <w:szCs w:val="24"/>
                <w:lang w:eastAsia="zh-CN"/>
              </w:rPr>
              <w:t>排名</w:t>
            </w:r>
            <w:r>
              <w:rPr>
                <w:rFonts w:hint="eastAsia"/>
                <w:sz w:val="24"/>
                <w:szCs w:val="24"/>
                <w:lang w:eastAsia="zh-CN"/>
              </w:rPr>
              <w:t>1</w:t>
            </w:r>
            <w:r>
              <w:rPr>
                <w:rFonts w:hint="eastAsia"/>
                <w:sz w:val="24"/>
                <w:szCs w:val="24"/>
                <w:lang w:eastAsia="zh-CN"/>
              </w:rPr>
              <w:t>，</w:t>
            </w:r>
            <w:r>
              <w:rPr>
                <w:rFonts w:hint="eastAsia"/>
                <w:sz w:val="24"/>
                <w:szCs w:val="24"/>
                <w:lang w:eastAsia="zh-CN"/>
              </w:rPr>
              <w:t>教授</w:t>
            </w:r>
            <w:r>
              <w:rPr>
                <w:sz w:val="24"/>
                <w:szCs w:val="24"/>
                <w:lang w:eastAsia="zh-CN"/>
              </w:rPr>
              <w:t>，完成单位和工作单位皆为</w:t>
            </w:r>
            <w:r>
              <w:rPr>
                <w:rFonts w:hint="eastAsia"/>
                <w:sz w:val="24"/>
                <w:szCs w:val="24"/>
                <w:lang w:eastAsia="zh-CN"/>
              </w:rPr>
              <w:t>南京航空航天</w:t>
            </w:r>
            <w:r>
              <w:rPr>
                <w:sz w:val="24"/>
                <w:szCs w:val="24"/>
                <w:lang w:eastAsia="zh-CN"/>
              </w:rPr>
              <w:t>大学</w:t>
            </w:r>
            <w:r>
              <w:rPr>
                <w:rFonts w:hint="eastAsia"/>
                <w:sz w:val="24"/>
                <w:szCs w:val="24"/>
                <w:lang w:eastAsia="zh-CN"/>
              </w:rPr>
              <w:t>；</w:t>
            </w:r>
          </w:p>
          <w:p w14:paraId="7A0D91C4">
            <w:pPr>
              <w:pStyle w:val="style0"/>
              <w:spacing w:lineRule="auto" w:line="360"/>
              <w:rPr>
                <w:sz w:val="24"/>
                <w:szCs w:val="24"/>
                <w:lang w:eastAsia="zh-CN"/>
              </w:rPr>
            </w:pPr>
            <w:r>
              <w:rPr>
                <w:szCs w:val="21"/>
                <w:lang w:eastAsia="zh-CN"/>
              </w:rPr>
              <w:t>姜斌</w:t>
            </w:r>
            <w:r>
              <w:rPr>
                <w:rFonts w:hint="eastAsia"/>
                <w:szCs w:val="21"/>
                <w:lang w:eastAsia="zh-CN"/>
              </w:rPr>
              <w:t>，</w:t>
            </w:r>
            <w:r>
              <w:rPr>
                <w:rFonts w:hint="eastAsia"/>
                <w:sz w:val="24"/>
                <w:szCs w:val="24"/>
                <w:lang w:eastAsia="zh-CN"/>
              </w:rPr>
              <w:t>排名</w:t>
            </w:r>
            <w:r>
              <w:rPr>
                <w:rFonts w:hint="eastAsia"/>
                <w:sz w:val="24"/>
                <w:szCs w:val="24"/>
                <w:lang w:eastAsia="zh-CN"/>
              </w:rPr>
              <w:t>2</w:t>
            </w:r>
            <w:r>
              <w:rPr>
                <w:rFonts w:hint="eastAsia"/>
                <w:sz w:val="24"/>
                <w:szCs w:val="24"/>
                <w:lang w:eastAsia="zh-CN"/>
              </w:rPr>
              <w:t>，教授</w:t>
            </w:r>
            <w:r>
              <w:rPr>
                <w:sz w:val="24"/>
                <w:szCs w:val="24"/>
                <w:lang w:eastAsia="zh-CN"/>
              </w:rPr>
              <w:t>，完成单位和工作单位皆为</w:t>
            </w:r>
            <w:r>
              <w:rPr>
                <w:rFonts w:hint="eastAsia"/>
                <w:sz w:val="24"/>
                <w:szCs w:val="24"/>
                <w:lang w:eastAsia="zh-CN"/>
              </w:rPr>
              <w:t>南京航空航天</w:t>
            </w:r>
            <w:r>
              <w:rPr>
                <w:sz w:val="24"/>
                <w:szCs w:val="24"/>
                <w:lang w:eastAsia="zh-CN"/>
              </w:rPr>
              <w:t>大学</w:t>
            </w:r>
            <w:r>
              <w:rPr>
                <w:rFonts w:hint="eastAsia"/>
                <w:sz w:val="24"/>
                <w:szCs w:val="24"/>
                <w:lang w:eastAsia="zh-CN"/>
              </w:rPr>
              <w:t>；</w:t>
            </w:r>
          </w:p>
          <w:p w14:paraId="47C26C65">
            <w:pPr>
              <w:pStyle w:val="style0"/>
              <w:spacing w:lineRule="auto" w:line="360"/>
              <w:rPr>
                <w:sz w:val="24"/>
                <w:szCs w:val="24"/>
                <w:lang w:eastAsia="zh-CN"/>
              </w:rPr>
            </w:pPr>
            <w:r>
              <w:rPr>
                <w:rFonts w:hint="eastAsia"/>
                <w:szCs w:val="21"/>
                <w:lang w:eastAsia="zh-CN"/>
              </w:rPr>
              <w:t>许宇航，</w:t>
            </w:r>
            <w:r>
              <w:rPr>
                <w:rFonts w:hint="eastAsia"/>
                <w:sz w:val="24"/>
                <w:szCs w:val="24"/>
                <w:lang w:eastAsia="zh-CN"/>
              </w:rPr>
              <w:t>排名</w:t>
            </w:r>
            <w:r>
              <w:rPr>
                <w:rFonts w:hint="eastAsia"/>
                <w:sz w:val="24"/>
                <w:szCs w:val="24"/>
                <w:lang w:eastAsia="zh-CN"/>
              </w:rPr>
              <w:t>3</w:t>
            </w:r>
            <w:r>
              <w:rPr>
                <w:rFonts w:hint="eastAsia"/>
                <w:sz w:val="24"/>
                <w:szCs w:val="24"/>
                <w:lang w:eastAsia="zh-CN"/>
              </w:rPr>
              <w:t>，</w:t>
            </w:r>
            <w:r>
              <w:rPr>
                <w:rFonts w:hint="eastAsia"/>
                <w:sz w:val="24"/>
                <w:szCs w:val="24"/>
                <w:lang w:eastAsia="zh-CN"/>
              </w:rPr>
              <w:t>副高</w:t>
            </w:r>
            <w:r>
              <w:rPr>
                <w:sz w:val="24"/>
                <w:szCs w:val="24"/>
                <w:lang w:eastAsia="zh-CN"/>
              </w:rPr>
              <w:t>，完成单位和工作单位皆为</w:t>
            </w:r>
            <w:r>
              <w:rPr>
                <w:rFonts w:hint="eastAsia"/>
                <w:sz w:val="24"/>
                <w:szCs w:val="24"/>
                <w:lang w:eastAsia="zh-CN"/>
              </w:rPr>
              <w:t>南京航空航天</w:t>
            </w:r>
            <w:r>
              <w:rPr>
                <w:sz w:val="24"/>
                <w:szCs w:val="24"/>
                <w:lang w:eastAsia="zh-CN"/>
              </w:rPr>
              <w:t>大学</w:t>
            </w:r>
            <w:r>
              <w:rPr>
                <w:rFonts w:hint="eastAsia"/>
                <w:sz w:val="24"/>
                <w:szCs w:val="24"/>
                <w:lang w:eastAsia="zh-CN"/>
              </w:rPr>
              <w:t>；</w:t>
            </w:r>
          </w:p>
          <w:p w14:paraId="08C53D08">
            <w:pPr>
              <w:pStyle w:val="style0"/>
              <w:spacing w:lineRule="auto" w:line="360"/>
              <w:rPr>
                <w:sz w:val="24"/>
                <w:szCs w:val="24"/>
                <w:lang w:eastAsia="zh-CN"/>
              </w:rPr>
            </w:pPr>
            <w:r>
              <w:rPr>
                <w:rFonts w:cs="宋体" w:hint="eastAsia"/>
                <w:sz w:val="24"/>
                <w:szCs w:val="24"/>
                <w:lang w:eastAsia="zh-CN"/>
              </w:rPr>
              <w:t>冒泽慧</w:t>
            </w:r>
            <w:r>
              <w:rPr>
                <w:rFonts w:cs="宋体" w:hint="eastAsia"/>
                <w:sz w:val="24"/>
                <w:szCs w:val="24"/>
                <w:lang w:eastAsia="zh-CN"/>
              </w:rPr>
              <w:t>，</w:t>
            </w:r>
            <w:r>
              <w:rPr>
                <w:rFonts w:hint="eastAsia"/>
                <w:sz w:val="24"/>
                <w:szCs w:val="24"/>
                <w:lang w:eastAsia="zh-CN"/>
              </w:rPr>
              <w:t>排名</w:t>
            </w:r>
            <w:r>
              <w:rPr>
                <w:rFonts w:hint="eastAsia"/>
                <w:sz w:val="24"/>
                <w:szCs w:val="24"/>
                <w:lang w:eastAsia="zh-CN"/>
              </w:rPr>
              <w:t>4</w:t>
            </w:r>
            <w:r>
              <w:rPr>
                <w:rFonts w:hint="eastAsia"/>
                <w:sz w:val="24"/>
                <w:szCs w:val="24"/>
                <w:lang w:eastAsia="zh-CN"/>
              </w:rPr>
              <w:t>，教授</w:t>
            </w:r>
            <w:r>
              <w:rPr>
                <w:sz w:val="24"/>
                <w:szCs w:val="24"/>
                <w:lang w:eastAsia="zh-CN"/>
              </w:rPr>
              <w:t>，完成单位和工作单位皆为</w:t>
            </w:r>
            <w:r>
              <w:rPr>
                <w:rFonts w:hint="eastAsia"/>
                <w:sz w:val="24"/>
                <w:szCs w:val="24"/>
                <w:lang w:eastAsia="zh-CN"/>
              </w:rPr>
              <w:t>南京航空航天</w:t>
            </w:r>
            <w:r>
              <w:rPr>
                <w:sz w:val="24"/>
                <w:szCs w:val="24"/>
                <w:lang w:eastAsia="zh-CN"/>
              </w:rPr>
              <w:t>大学</w:t>
            </w:r>
            <w:r>
              <w:rPr>
                <w:rFonts w:hint="eastAsia"/>
                <w:sz w:val="24"/>
                <w:szCs w:val="24"/>
                <w:lang w:eastAsia="zh-CN"/>
              </w:rPr>
              <w:t>；</w:t>
            </w:r>
          </w:p>
          <w:p w14:paraId="690D0B83">
            <w:pPr>
              <w:pStyle w:val="style0"/>
              <w:spacing w:lineRule="auto" w:line="360"/>
              <w:rPr>
                <w:sz w:val="24"/>
                <w:szCs w:val="24"/>
                <w:lang w:eastAsia="zh-CN"/>
              </w:rPr>
            </w:pPr>
            <w:r>
              <w:rPr>
                <w:rFonts w:hint="eastAsia"/>
                <w:sz w:val="24"/>
                <w:szCs w:val="24"/>
                <w:lang w:eastAsia="zh-CN"/>
              </w:rPr>
              <w:t>周琪</w:t>
            </w:r>
            <w:r>
              <w:rPr>
                <w:rFonts w:hint="eastAsia"/>
                <w:szCs w:val="21"/>
                <w:lang w:eastAsia="zh-CN"/>
              </w:rPr>
              <w:t>，</w:t>
            </w:r>
            <w:r>
              <w:rPr>
                <w:rFonts w:hint="eastAsia"/>
                <w:sz w:val="24"/>
                <w:szCs w:val="24"/>
                <w:lang w:eastAsia="zh-CN"/>
              </w:rPr>
              <w:t>排名</w:t>
            </w:r>
            <w:r>
              <w:rPr>
                <w:rFonts w:hint="eastAsia"/>
                <w:sz w:val="24"/>
                <w:szCs w:val="24"/>
                <w:lang w:eastAsia="zh-CN"/>
              </w:rPr>
              <w:t>5</w:t>
            </w:r>
            <w:r>
              <w:rPr>
                <w:rFonts w:hint="eastAsia"/>
                <w:sz w:val="24"/>
                <w:szCs w:val="24"/>
                <w:lang w:eastAsia="zh-CN"/>
              </w:rPr>
              <w:t>，</w:t>
            </w:r>
            <w:r>
              <w:rPr>
                <w:rFonts w:hint="eastAsia"/>
                <w:sz w:val="24"/>
                <w:szCs w:val="24"/>
                <w:lang w:eastAsia="zh-CN"/>
              </w:rPr>
              <w:t>正高级工程师</w:t>
            </w:r>
            <w:r>
              <w:rPr>
                <w:sz w:val="24"/>
                <w:szCs w:val="24"/>
                <w:lang w:eastAsia="zh-CN"/>
              </w:rPr>
              <w:t>，完成单位和工作单位皆为</w:t>
            </w:r>
            <w:r>
              <w:rPr>
                <w:rFonts w:hint="eastAsia"/>
                <w:sz w:val="24"/>
                <w:szCs w:val="24"/>
                <w:lang w:eastAsia="zh-CN"/>
              </w:rPr>
              <w:t>中国航空工业集团公司西安飞行自动控制研究所</w:t>
            </w:r>
          </w:p>
          <w:p w14:paraId="33E3E723">
            <w:pPr>
              <w:pStyle w:val="style0"/>
              <w:spacing w:lineRule="auto" w:line="360"/>
              <w:rPr>
                <w:sz w:val="24"/>
                <w:szCs w:val="24"/>
                <w:lang w:eastAsia="zh-CN"/>
              </w:rPr>
            </w:pPr>
          </w:p>
        </w:tc>
      </w:tr>
      <w:tr w14:paraId="4FBF7E2F">
        <w:tblPrEx/>
        <w:trPr>
          <w:jc w:val="center"/>
        </w:trPr>
        <w:tc>
          <w:tcPr>
            <w:tcW w:w="1928" w:type="dxa"/>
            <w:tcBorders/>
            <w:vAlign w:val="center"/>
          </w:tcPr>
          <w:p w14:paraId="753F589B">
            <w:pPr>
              <w:pStyle w:val="style0"/>
              <w:spacing w:lineRule="auto" w:line="312"/>
              <w:jc w:val="center"/>
              <w:rPr>
                <w:sz w:val="24"/>
                <w:szCs w:val="24"/>
              </w:rPr>
            </w:pPr>
            <w:r>
              <w:rPr>
                <w:sz w:val="24"/>
                <w:szCs w:val="24"/>
              </w:rPr>
              <w:t>主要完成</w:t>
            </w:r>
            <w:r>
              <w:rPr>
                <w:sz w:val="24"/>
                <w:szCs w:val="24"/>
              </w:rPr>
              <w:br/>
            </w:r>
            <w:r>
              <w:rPr>
                <w:sz w:val="24"/>
                <w:szCs w:val="24"/>
              </w:rPr>
              <w:t>单位</w:t>
            </w:r>
          </w:p>
        </w:tc>
        <w:tc>
          <w:tcPr>
            <w:tcW w:w="7257" w:type="dxa"/>
            <w:tcBorders/>
            <w:vAlign w:val="center"/>
          </w:tcPr>
          <w:p w14:paraId="7E7037B2">
            <w:pPr>
              <w:pStyle w:val="style0"/>
              <w:spacing w:lineRule="auto" w:line="360"/>
              <w:jc w:val="center"/>
              <w:rPr>
                <w:sz w:val="24"/>
                <w:szCs w:val="24"/>
                <w:lang w:eastAsia="zh-CN"/>
              </w:rPr>
            </w:pPr>
            <w:r>
              <w:rPr>
                <w:sz w:val="24"/>
                <w:szCs w:val="24"/>
                <w:lang w:eastAsia="zh-CN"/>
              </w:rPr>
              <w:t>南京航空航天大学</w:t>
            </w:r>
          </w:p>
          <w:p w14:paraId="1A371F7B">
            <w:pPr>
              <w:pStyle w:val="style0"/>
              <w:spacing w:lineRule="auto" w:line="360"/>
              <w:jc w:val="center"/>
              <w:rPr>
                <w:sz w:val="24"/>
                <w:szCs w:val="24"/>
                <w:lang w:eastAsia="zh-CN"/>
              </w:rPr>
            </w:pPr>
            <w:r>
              <w:rPr>
                <w:rFonts w:hint="eastAsia"/>
                <w:sz w:val="24"/>
                <w:szCs w:val="24"/>
                <w:lang w:eastAsia="zh-CN"/>
              </w:rPr>
              <w:t>中国航空工业集团公司西安飞行自动控制研究所</w:t>
            </w:r>
          </w:p>
        </w:tc>
      </w:tr>
      <w:tr w14:paraId="064DE121">
        <w:tblPrEx/>
        <w:trPr>
          <w:jc w:val="center"/>
        </w:trPr>
        <w:tc>
          <w:tcPr>
            <w:tcW w:w="1928" w:type="dxa"/>
            <w:tcBorders/>
            <w:vAlign w:val="center"/>
          </w:tcPr>
          <w:p w14:paraId="0058BC60">
            <w:pPr>
              <w:pStyle w:val="style0"/>
              <w:spacing w:lineRule="auto" w:line="312"/>
              <w:jc w:val="center"/>
              <w:rPr>
                <w:sz w:val="24"/>
                <w:szCs w:val="24"/>
              </w:rPr>
            </w:pPr>
            <w:r>
              <w:rPr>
                <w:sz w:val="24"/>
                <w:szCs w:val="24"/>
              </w:rPr>
              <w:t>提名单位</w:t>
            </w:r>
          </w:p>
        </w:tc>
        <w:tc>
          <w:tcPr>
            <w:tcW w:w="7257" w:type="dxa"/>
            <w:tcBorders/>
            <w:vAlign w:val="center"/>
          </w:tcPr>
          <w:p w14:paraId="673F668B">
            <w:pPr>
              <w:pStyle w:val="style0"/>
              <w:spacing w:lineRule="auto" w:line="360"/>
              <w:jc w:val="center"/>
              <w:rPr>
                <w:sz w:val="24"/>
                <w:szCs w:val="24"/>
              </w:rPr>
            </w:pPr>
            <w:r>
              <w:rPr>
                <w:rFonts w:hint="eastAsia"/>
                <w:sz w:val="24"/>
                <w:szCs w:val="24"/>
                <w:lang w:eastAsia="zh-CN"/>
              </w:rPr>
              <w:t>南京航空航天</w:t>
            </w:r>
            <w:r>
              <w:rPr>
                <w:sz w:val="24"/>
                <w:szCs w:val="24"/>
              </w:rPr>
              <w:t>大学</w:t>
            </w:r>
          </w:p>
        </w:tc>
      </w:tr>
      <w:tr w14:paraId="7BE457D8">
        <w:tblPrEx/>
        <w:trPr>
          <w:jc w:val="center"/>
        </w:trPr>
        <w:tc>
          <w:tcPr>
            <w:tcW w:w="1928" w:type="dxa"/>
            <w:tcBorders/>
            <w:vAlign w:val="center"/>
          </w:tcPr>
          <w:p w14:paraId="74C26FCC">
            <w:pPr>
              <w:pStyle w:val="style0"/>
              <w:spacing w:lineRule="auto" w:line="312"/>
              <w:jc w:val="center"/>
              <w:rPr>
                <w:sz w:val="24"/>
                <w:szCs w:val="24"/>
              </w:rPr>
            </w:pPr>
            <w:r>
              <w:rPr>
                <w:sz w:val="24"/>
                <w:szCs w:val="24"/>
              </w:rPr>
              <w:t>提名意见</w:t>
            </w:r>
          </w:p>
        </w:tc>
        <w:tc>
          <w:tcPr>
            <w:tcW w:w="7257" w:type="dxa"/>
            <w:tcBorders/>
            <w:vAlign w:val="center"/>
          </w:tcPr>
          <w:p w14:paraId="345D771B">
            <w:pPr>
              <w:pStyle w:val="style0"/>
              <w:adjustRightInd w:val="false"/>
              <w:spacing w:lineRule="auto" w:line="300"/>
              <w:ind w:firstLine="420"/>
              <w:rPr>
                <w:sz w:val="24"/>
                <w:szCs w:val="24"/>
                <w:lang w:val="en-GB" w:eastAsia="zh-CN"/>
              </w:rPr>
            </w:pPr>
            <w:r>
              <w:rPr>
                <w:sz w:val="24"/>
                <w:szCs w:val="24"/>
                <w:lang w:val="en-GB" w:eastAsia="zh-CN"/>
              </w:rPr>
              <w:t>“</w:t>
            </w:r>
            <w:r>
              <w:rPr>
                <w:sz w:val="24"/>
                <w:szCs w:val="24"/>
                <w:lang w:val="en-GB" w:eastAsia="zh-CN"/>
              </w:rPr>
              <w:t>复杂非线性信息物理系统故障与攻击诊断和安全调控</w:t>
            </w:r>
            <w:r>
              <w:rPr>
                <w:sz w:val="24"/>
                <w:szCs w:val="24"/>
                <w:lang w:val="en-GB" w:eastAsia="zh-CN"/>
              </w:rPr>
              <w:t>”</w:t>
            </w:r>
            <w:r>
              <w:rPr>
                <w:sz w:val="24"/>
                <w:szCs w:val="24"/>
                <w:lang w:val="en-GB" w:eastAsia="zh-CN"/>
              </w:rPr>
              <w:t>项目面向高速列车和无人飞行器等重大装备的安全运行需求，围绕微小故障难以准确诊断、非匹配故障难以有效补偿及隐身攻击难以检测辨</w:t>
            </w:r>
            <w:r>
              <w:rPr>
                <w:sz w:val="24"/>
                <w:szCs w:val="24"/>
                <w:lang w:val="en-GB" w:eastAsia="zh-CN"/>
              </w:rPr>
              <w:t>识等关键问题，开展了系统深入的研究，取得了具有重要科学价值的创新成果。</w:t>
            </w:r>
          </w:p>
          <w:p w14:paraId="00AF14AA">
            <w:pPr>
              <w:pStyle w:val="style0"/>
              <w:adjustRightInd w:val="false"/>
              <w:spacing w:lineRule="auto" w:line="300"/>
              <w:ind w:firstLine="420"/>
              <w:rPr>
                <w:sz w:val="24"/>
                <w:szCs w:val="24"/>
                <w:lang w:val="en-GB" w:eastAsia="zh-CN"/>
              </w:rPr>
            </w:pPr>
            <w:r>
              <w:rPr>
                <w:sz w:val="24"/>
                <w:szCs w:val="24"/>
                <w:lang w:val="en-GB" w:eastAsia="zh-CN"/>
              </w:rPr>
              <w:t>项目建立了微小故障定量刻画与鲁棒检测隔离方法，揭示故障严重程度与检测能力之间的联系，提高了扰动和不确定性条件下的早期故障诊断能力；揭示了非匹配执行器故障补偿原理及层间耦合对故障传播与恢复的双重作用，形成故障补偿与多层协同容错方法；揭示了非线性系统隐身完整性攻击机理，提出时间回溯检测和故障攻击辨识方法，为复杂信息物理系统的安全监测与差异化风险处置提供了理论依据。</w:t>
            </w:r>
          </w:p>
          <w:p w14:paraId="57B866AB">
            <w:pPr>
              <w:pStyle w:val="style0"/>
              <w:adjustRightInd w:val="false"/>
              <w:spacing w:lineRule="auto" w:line="300"/>
              <w:ind w:firstLine="420"/>
              <w:rPr>
                <w:sz w:val="24"/>
                <w:szCs w:val="24"/>
                <w:lang w:val="en-GB" w:eastAsia="zh-CN"/>
              </w:rPr>
            </w:pPr>
            <w:r>
              <w:rPr>
                <w:sz w:val="24"/>
                <w:szCs w:val="24"/>
                <w:lang w:val="en-GB" w:eastAsia="zh-CN"/>
              </w:rPr>
              <w:t>相关成果发表于</w:t>
            </w:r>
            <w:r>
              <w:rPr>
                <w:sz w:val="24"/>
                <w:szCs w:val="24"/>
                <w:lang w:val="en-GB" w:eastAsia="zh-CN"/>
              </w:rPr>
              <w:t>IEEE</w:t>
            </w:r>
            <w:r>
              <w:rPr>
                <w:sz w:val="24"/>
                <w:szCs w:val="24"/>
                <w:lang w:val="en-GB" w:eastAsia="zh-CN"/>
              </w:rPr>
              <w:t>汇刊、</w:t>
            </w:r>
            <w:r>
              <w:rPr>
                <w:sz w:val="24"/>
                <w:szCs w:val="24"/>
                <w:lang w:val="en-GB" w:eastAsia="zh-CN"/>
              </w:rPr>
              <w:t>Automatica</w:t>
            </w:r>
            <w:r>
              <w:rPr>
                <w:sz w:val="24"/>
                <w:szCs w:val="24"/>
                <w:lang w:val="en-GB" w:eastAsia="zh-CN"/>
              </w:rPr>
              <w:t>等期刊，获得国内外同行的引用与积极评价，并形成授权发明专利。相关技术在轨道交通装备、无人直升机及无人机集群系统中开展应用验证，体现了基础研究成果对重大装备安全运行的支撑作用。</w:t>
            </w:r>
          </w:p>
          <w:p w14:paraId="6247E9E1">
            <w:pPr>
              <w:pStyle w:val="style0"/>
              <w:spacing w:lineRule="auto" w:line="360"/>
              <w:ind w:firstLine="480" w:firstLineChars="200"/>
              <w:rPr>
                <w:sz w:val="24"/>
                <w:szCs w:val="24"/>
                <w:lang w:eastAsia="zh-CN"/>
              </w:rPr>
            </w:pPr>
            <w:r>
              <w:rPr>
                <w:sz w:val="24"/>
                <w:szCs w:val="24"/>
                <w:lang w:val="en-GB" w:eastAsia="zh-CN"/>
              </w:rPr>
              <w:t>本单位认为，该项目研究特色鲜明，理论创新性强，具有良好的学术影响和推广应用价值，同意推荐申报</w:t>
            </w:r>
            <w:r>
              <w:rPr>
                <w:sz w:val="24"/>
                <w:szCs w:val="24"/>
                <w:lang w:val="en-GB" w:eastAsia="zh-CN"/>
              </w:rPr>
              <w:t>2026</w:t>
            </w:r>
            <w:r>
              <w:rPr>
                <w:sz w:val="24"/>
                <w:szCs w:val="24"/>
                <w:lang w:val="en-GB" w:eastAsia="zh-CN"/>
              </w:rPr>
              <w:t>年度江苏省自动化学会科学技术奖（基础类）。</w:t>
            </w:r>
          </w:p>
        </w:tc>
      </w:tr>
    </w:tbl>
    <w:p w14:paraId="020AE405">
      <w:pPr>
        <w:pStyle w:val="style0"/>
        <w:rPr>
          <w:sz w:val="24"/>
          <w:szCs w:val="24"/>
          <w:lang w:eastAsia="zh-CN"/>
        </w:rPr>
      </w:pPr>
    </w:p>
    <w:sectPr>
      <w:pgSz w:w="11906" w:h="16838" w:orient="portrait"/>
      <w:pgMar w:top="1361"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MS Mincho">
    <w:altName w:val="MS Mincho"/>
    <w:panose1 w:val="02020609040002080304"/>
    <w:charset w:val="80"/>
    <w:family w:val="modern"/>
    <w:pitch w:val="fixed"/>
    <w:sig w:usb0="E00002FF" w:usb1="6AC7FDFB" w:usb2="08000012" w:usb3="00000000" w:csb0="0002009F" w:csb1="00000000"/>
  </w:font>
  <w:font w:name="宋体">
    <w:altName w:val="SimSun"/>
    <w:panose1 w:val="02010600030001010101"/>
    <w:charset w:val="86"/>
    <w:family w:val="auto"/>
    <w:pitch w:val="variable"/>
    <w:sig w:usb0="00000203" w:usb1="288F0000" w:usb2="00000016" w:usb3="00000000" w:csb0="00040001" w:csb1="00000000"/>
  </w:font>
  <w:font w:name="Calibri">
    <w:altName w:val="Calibri"/>
    <w:panose1 w:val="020f0502020002030204"/>
    <w:charset w:val="00"/>
    <w:family w:val="swiss"/>
    <w:pitch w:val="variable"/>
    <w:sig w:usb0="E4002EFF" w:usb1="C200247B" w:usb2="00000009" w:usb3="00000000" w:csb0="000001FF" w:csb1="00000000"/>
  </w:font>
  <w:font w:name="MS Gothic">
    <w:altName w:val="ＭＳ ゴシック"/>
    <w:panose1 w:val="020b0609070002080204"/>
    <w:charset w:val="80"/>
    <w:family w:val="modern"/>
    <w:pitch w:val="fixed"/>
    <w:sig w:usb0="E00002FF" w:usb1="6AC7FDFB" w:usb2="08000012" w:usb3="00000000" w:csb0="0002009F" w:csb1="00000000"/>
  </w:font>
  <w:font w:name="Courier">
    <w:altName w:val="Courier"/>
    <w:panose1 w:val="02070409020002020404"/>
    <w:charset w:val="00"/>
    <w:family w:val="auto"/>
    <w:pitch w:val="variable"/>
    <w:sig w:usb0="00000003" w:usb1="00000000" w:usb2="00000000" w:usb3="00000000" w:csb0="00000001" w:csb1="00000000"/>
  </w:font>
  <w:font w:name="黑体">
    <w:altName w:val="SimHei"/>
    <w:panose1 w:val="02010609060001010101"/>
    <w:charset w:val="86"/>
    <w:family w:val="modern"/>
    <w:pitch w:val="fixed"/>
    <w:sig w:usb0="800002BF" w:usb1="38CF7CFA" w:usb2="00000016" w:usb3="00000000" w:csb0="00040001" w:csb1="00000000"/>
  </w:font>
  <w:font w:name="ＭＳ 明朝">
    <w:altName w:val=""/>
    <w:panose1 w:val="00000000000000000000"/>
    <w:charset w:val="00"/>
    <w:family w:val="auto"/>
    <w:pitch w:val="default"/>
    <w:sig w:usb0="E0002AFF" w:usb1="C0007841" w:usb2="00000009" w:usb3="00000000" w:csb0="000001FF" w:csb1="00000000"/>
  </w:font>
  <w:font w:name="ＭＳ ゴシック">
    <w:altName w:val=""/>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abstractNum w:abstractNumId="9">
    <w:nsid w:val="00000009"/>
    <w:multiLevelType w:val="hybridMultilevel"/>
    <w:tmpl w:val="F6D0132A"/>
    <w:lvl w:ilvl="0" w:tplc="B2A63F0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 w:numId="10">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Times New Roman" w:eastAsia="宋体" w:hAnsi="Times New Roman"/>
      <w:sz w:val="21"/>
    </w:rPr>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页眉 字符"/>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页脚 字符"/>
    <w:basedOn w:val="style65"/>
    <w:next w:val="style4098"/>
    <w:link w:val="style32"/>
    <w:uiPriority w:val="99"/>
  </w:style>
  <w:style w:type="paragraph" w:styleId="style157">
    <w:name w:val="No Spacing"/>
    <w:next w:val="style157"/>
    <w:qFormat/>
    <w:uiPriority w:val="1"/>
    <w:pPr>
      <w:spacing w:after="0" w:lineRule="auto" w:line="240"/>
    </w:pPr>
    <w:rPr/>
  </w:style>
  <w:style w:type="character" w:customStyle="1" w:styleId="style4099">
    <w:name w:val="标题 1 字符"/>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标题 2 字符"/>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标题 3 字符"/>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标题 字符"/>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副标题 字符"/>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正文文本 字符"/>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正文文本 2 字符"/>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正文文本 3 字符"/>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宏文本 字符"/>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引用 字符"/>
    <w:basedOn w:val="style65"/>
    <w:next w:val="style4108"/>
    <w:link w:val="style180"/>
    <w:uiPriority w:val="29"/>
    <w:rPr>
      <w:i/>
      <w:iCs/>
      <w:color w:val="000000"/>
    </w:rPr>
  </w:style>
  <w:style w:type="character" w:customStyle="1" w:styleId="style4109">
    <w:name w:val="标题 4 字符"/>
    <w:basedOn w:val="style65"/>
    <w:next w:val="style4109"/>
    <w:link w:val="style4"/>
    <w:uiPriority w:val="9"/>
    <w:rPr>
      <w:rFonts w:ascii="Calibri" w:cs="宋体" w:eastAsia="ＭＳ ゴシック" w:hAnsi="Calibri"/>
      <w:b/>
      <w:bCs/>
      <w:i/>
      <w:iCs/>
      <w:color w:val="4f81bd"/>
    </w:rPr>
  </w:style>
  <w:style w:type="character" w:customStyle="1" w:styleId="style4110">
    <w:name w:val="标题 5 字符"/>
    <w:basedOn w:val="style65"/>
    <w:next w:val="style4110"/>
    <w:link w:val="style5"/>
    <w:uiPriority w:val="9"/>
    <w:rPr>
      <w:rFonts w:ascii="Calibri" w:cs="宋体" w:eastAsia="ＭＳ ゴシック" w:hAnsi="Calibri"/>
      <w:color w:val="243f60"/>
    </w:rPr>
  </w:style>
  <w:style w:type="character" w:customStyle="1" w:styleId="style4111">
    <w:name w:val="标题 6 字符"/>
    <w:basedOn w:val="style65"/>
    <w:next w:val="style4111"/>
    <w:link w:val="style6"/>
    <w:uiPriority w:val="9"/>
    <w:rPr>
      <w:rFonts w:ascii="Calibri" w:cs="宋体" w:eastAsia="ＭＳ ゴシック" w:hAnsi="Calibri"/>
      <w:i/>
      <w:iCs/>
      <w:color w:val="243f60"/>
    </w:rPr>
  </w:style>
  <w:style w:type="character" w:customStyle="1" w:styleId="style4112">
    <w:name w:val="标题 7 字符"/>
    <w:basedOn w:val="style65"/>
    <w:next w:val="style4112"/>
    <w:link w:val="style7"/>
    <w:uiPriority w:val="9"/>
    <w:rPr>
      <w:rFonts w:ascii="Calibri" w:cs="宋体" w:eastAsia="ＭＳ ゴシック" w:hAnsi="Calibri"/>
      <w:i/>
      <w:iCs/>
      <w:color w:val="404040"/>
    </w:rPr>
  </w:style>
  <w:style w:type="character" w:customStyle="1" w:styleId="style4113">
    <w:name w:val="标题 8 字符"/>
    <w:basedOn w:val="style65"/>
    <w:next w:val="style4113"/>
    <w:link w:val="style8"/>
    <w:uiPriority w:val="9"/>
    <w:rPr>
      <w:rFonts w:ascii="Calibri" w:cs="宋体" w:eastAsia="ＭＳ ゴシック" w:hAnsi="Calibri"/>
      <w:color w:val="4f81bd"/>
      <w:sz w:val="20"/>
      <w:szCs w:val="20"/>
    </w:rPr>
  </w:style>
  <w:style w:type="character" w:customStyle="1" w:styleId="style4114">
    <w:name w:val="标题 9 字符"/>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明显引用 字符"/>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Borders>
        <w:top w:val="single" w:sz="8" w:space="0" w:color="000000"/>
        <w:bottom w:val="single" w:sz="8" w:space="0" w:color="000000"/>
      </w:tblBorders>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Borders>
        <w:top w:val="single" w:sz="8" w:space="0" w:color="4f81bd"/>
        <w:bottom w:val="single" w:sz="8" w:space="0" w:color="4f81bd"/>
      </w:tblBorders>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Borders>
        <w:top w:val="single" w:sz="8" w:space="0" w:color="c0504d"/>
        <w:bottom w:val="single" w:sz="8" w:space="0" w:color="c0504d"/>
      </w:tblBorders>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Borders>
        <w:top w:val="single" w:sz="8" w:space="0" w:color="9bbb59"/>
        <w:bottom w:val="single" w:sz="8" w:space="0" w:color="9bbb59"/>
      </w:tblBorders>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Borders>
        <w:top w:val="single" w:sz="8" w:space="0" w:color="8064a2"/>
        <w:bottom w:val="single" w:sz="8" w:space="0" w:color="8064a2"/>
      </w:tblBorders>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Borders>
        <w:top w:val="single" w:sz="8" w:space="0" w:color="4bacc6"/>
        <w:bottom w:val="single" w:sz="8" w:space="0" w:color="4bacc6"/>
      </w:tblBorders>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Borders>
        <w:top w:val="single" w:sz="8" w:space="0" w:color="f79646"/>
        <w:bottom w:val="single" w:sz="8" w:space="0" w:color="f79646"/>
      </w:tblBorders>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shd w:val="clear" w:color="auto" w:fill="000000"/>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shd w:val="clear" w:color="auto" w:fill="4f81b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shd w:val="clear" w:color="auto" w:fill="c0504d"/>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shd w:val="clear" w:color="auto" w:fill="9bbb59"/>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shd w:val="clear" w:color="auto" w:fill="8064a2"/>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shd w:val="clear" w:color="auto" w:fill="4bacc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shd w:val="clear" w:color="auto" w:fill="f79646"/>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shd w:val="clear" w:color="auto" w:fill="e6e6e6"/>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shd w:val="clear" w:color="auto" w:fill="edf2f8"/>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shd w:val="clear" w:color="auto" w:fill="f8eded"/>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shd w:val="clear" w:color="auto" w:fill="f5f8ee"/>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shd w:val="clear" w:color="auto" w:fill="f2eff6"/>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shd w:val="clear" w:color="auto" w:fill="edf6f9"/>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shd w:val="clear" w:color="auto" w:fill="fef4ec"/>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Words>999</Words>
  <Pages>3</Pages>
  <Characters>2216</Characters>
  <Application>WPS Office</Application>
  <DocSecurity>0</DocSecurity>
  <Paragraphs>44</Paragraphs>
  <ScaleCrop>false</ScaleCrop>
  <LinksUpToDate>false</LinksUpToDate>
  <CharactersWithSpaces>2432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2026-10-21T08:33:00Z</dcterms:created>
  <dc:creator>python-docx</dc:creator>
  <dc:description>generated by python-docx</dc:description>
  <lastModifiedBy>24129PN74C</lastModifiedBy>
  <dcterms:modified xsi:type="dcterms:W3CDTF">2026-10-22T00:55:36Z</dcterms:modified>
  <revision>5</revision>
  <dc:subject>科学技术奖公示模版</dc:subject>
  <dc:title>浙江省自动化学会科学技术奖公示信息表</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230fd7cd049f4838870c86fe3e29b5ec_22</vt:lpwstr>
  </property>
</Properties>
</file>