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E754A">
      <w:pPr>
        <w:snapToGrid w:val="0"/>
        <w:spacing w:after="0" w:line="240" w:lineRule="auto"/>
        <w:jc w:val="center"/>
        <w:rPr>
          <w:rFonts w:cs="Times New Roman" w:eastAsiaTheme="minorEastAsia"/>
          <w:b/>
          <w:bCs/>
          <w:szCs w:val="28"/>
        </w:rPr>
      </w:pPr>
      <w:r>
        <w:rPr>
          <w:rFonts w:hint="eastAsia" w:cs="Times New Roman" w:eastAsiaTheme="minorEastAsia"/>
          <w:b/>
          <w:bCs/>
          <w:szCs w:val="28"/>
        </w:rPr>
        <w:t>2026年度青岛市科学技术奖（自然科学）</w:t>
      </w:r>
    </w:p>
    <w:p w14:paraId="3096583F">
      <w:pPr>
        <w:snapToGrid w:val="0"/>
        <w:spacing w:after="0" w:line="240" w:lineRule="auto"/>
        <w:jc w:val="center"/>
        <w:rPr>
          <w:rFonts w:cs="Times New Roman" w:eastAsiaTheme="minorEastAsia"/>
          <w:b/>
          <w:bCs/>
          <w:szCs w:val="28"/>
        </w:rPr>
      </w:pPr>
      <w:r>
        <w:rPr>
          <w:rFonts w:hint="eastAsia" w:cs="Times New Roman" w:eastAsiaTheme="minorEastAsia"/>
          <w:b/>
          <w:bCs/>
          <w:szCs w:val="28"/>
        </w:rPr>
        <w:t>候选项目公示信息</w:t>
      </w:r>
    </w:p>
    <w:tbl>
      <w:tblPr>
        <w:tblStyle w:val="6"/>
        <w:tblW w:w="47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070"/>
        <w:gridCol w:w="1104"/>
        <w:gridCol w:w="176"/>
        <w:gridCol w:w="1163"/>
        <w:gridCol w:w="1288"/>
        <w:gridCol w:w="424"/>
        <w:gridCol w:w="1129"/>
        <w:gridCol w:w="1837"/>
      </w:tblGrid>
      <w:tr w14:paraId="58167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4" w:type="pct"/>
            <w:gridSpan w:val="2"/>
            <w:vAlign w:val="center"/>
          </w:tcPr>
          <w:p w14:paraId="12C443DA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奖励类别</w:t>
            </w:r>
          </w:p>
        </w:tc>
        <w:tc>
          <w:tcPr>
            <w:tcW w:w="3595" w:type="pct"/>
            <w:gridSpan w:val="7"/>
            <w:vAlign w:val="center"/>
          </w:tcPr>
          <w:p w14:paraId="0E6BC94E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青岛市自然科学奖</w:t>
            </w:r>
          </w:p>
        </w:tc>
      </w:tr>
      <w:tr w14:paraId="3078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4" w:type="pct"/>
            <w:gridSpan w:val="2"/>
            <w:vAlign w:val="center"/>
          </w:tcPr>
          <w:p w14:paraId="70EA8C46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项目名称</w:t>
            </w:r>
          </w:p>
        </w:tc>
        <w:tc>
          <w:tcPr>
            <w:tcW w:w="3595" w:type="pct"/>
            <w:gridSpan w:val="7"/>
            <w:vAlign w:val="center"/>
          </w:tcPr>
          <w:p w14:paraId="71143D15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面向高性能超级电容器的二维纳米复合电极结构设计及储能机制</w:t>
            </w:r>
          </w:p>
        </w:tc>
      </w:tr>
      <w:tr w14:paraId="6EC02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4" w:type="pct"/>
            <w:gridSpan w:val="2"/>
            <w:vAlign w:val="center"/>
          </w:tcPr>
          <w:p w14:paraId="1013AE8C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提名单位（提名专家）</w:t>
            </w:r>
          </w:p>
        </w:tc>
        <w:tc>
          <w:tcPr>
            <w:tcW w:w="3595" w:type="pct"/>
            <w:gridSpan w:val="7"/>
            <w:vAlign w:val="center"/>
          </w:tcPr>
          <w:p w14:paraId="5E1BE229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</w:tr>
      <w:tr w14:paraId="5258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000" w:type="pct"/>
            <w:gridSpan w:val="9"/>
            <w:vAlign w:val="center"/>
          </w:tcPr>
          <w:p w14:paraId="5D7E5391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主要完成人情况</w:t>
            </w:r>
          </w:p>
        </w:tc>
      </w:tr>
      <w:tr w14:paraId="2F9DE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337FED35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排名</w:t>
            </w:r>
          </w:p>
        </w:tc>
        <w:tc>
          <w:tcPr>
            <w:tcW w:w="1691" w:type="pct"/>
            <w:gridSpan w:val="3"/>
            <w:vAlign w:val="center"/>
          </w:tcPr>
          <w:p w14:paraId="4DBBEC56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姓名</w:t>
            </w:r>
          </w:p>
        </w:tc>
        <w:tc>
          <w:tcPr>
            <w:tcW w:w="1451" w:type="pct"/>
            <w:gridSpan w:val="3"/>
            <w:vAlign w:val="center"/>
          </w:tcPr>
          <w:p w14:paraId="3D66702A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工作单位</w:t>
            </w:r>
          </w:p>
        </w:tc>
        <w:tc>
          <w:tcPr>
            <w:tcW w:w="1497" w:type="pct"/>
            <w:gridSpan w:val="2"/>
            <w:vAlign w:val="center"/>
          </w:tcPr>
          <w:p w14:paraId="1DE9DBB1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完成单位</w:t>
            </w:r>
          </w:p>
        </w:tc>
      </w:tr>
      <w:tr w14:paraId="05EC3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579BB8E1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</w:rPr>
              <w:t>1</w:t>
            </w:r>
          </w:p>
        </w:tc>
        <w:tc>
          <w:tcPr>
            <w:tcW w:w="1691" w:type="pct"/>
            <w:gridSpan w:val="3"/>
            <w:vAlign w:val="center"/>
          </w:tcPr>
          <w:p w14:paraId="0C107EEF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韩永芹</w:t>
            </w:r>
          </w:p>
        </w:tc>
        <w:tc>
          <w:tcPr>
            <w:tcW w:w="1451" w:type="pct"/>
            <w:gridSpan w:val="3"/>
            <w:vAlign w:val="center"/>
          </w:tcPr>
          <w:p w14:paraId="6FE25F94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  <w:tc>
          <w:tcPr>
            <w:tcW w:w="1497" w:type="pct"/>
            <w:gridSpan w:val="2"/>
            <w:vAlign w:val="center"/>
          </w:tcPr>
          <w:p w14:paraId="5A7998EA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</w:tr>
      <w:tr w14:paraId="2E1E6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51CA906E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</w:rPr>
              <w:t>2</w:t>
            </w:r>
          </w:p>
        </w:tc>
        <w:tc>
          <w:tcPr>
            <w:tcW w:w="1691" w:type="pct"/>
            <w:gridSpan w:val="3"/>
            <w:vAlign w:val="center"/>
          </w:tcPr>
          <w:p w14:paraId="6313B323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张校刚</w:t>
            </w:r>
          </w:p>
        </w:tc>
        <w:tc>
          <w:tcPr>
            <w:tcW w:w="1451" w:type="pct"/>
            <w:gridSpan w:val="3"/>
            <w:vAlign w:val="center"/>
          </w:tcPr>
          <w:p w14:paraId="05CC2421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南京航空航天大学</w:t>
            </w:r>
          </w:p>
        </w:tc>
        <w:tc>
          <w:tcPr>
            <w:tcW w:w="1497" w:type="pct"/>
            <w:gridSpan w:val="2"/>
            <w:vAlign w:val="center"/>
          </w:tcPr>
          <w:p w14:paraId="0392B45F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南京航空航天大学</w:t>
            </w:r>
          </w:p>
        </w:tc>
      </w:tr>
      <w:tr w14:paraId="1761B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693295D5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691" w:type="pct"/>
            <w:gridSpan w:val="3"/>
            <w:vAlign w:val="center"/>
          </w:tcPr>
          <w:p w14:paraId="54AAFBCC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马勇</w:t>
            </w:r>
          </w:p>
        </w:tc>
        <w:tc>
          <w:tcPr>
            <w:tcW w:w="1451" w:type="pct"/>
            <w:gridSpan w:val="3"/>
            <w:vAlign w:val="center"/>
          </w:tcPr>
          <w:p w14:paraId="3E8A9EC5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  <w:tc>
          <w:tcPr>
            <w:tcW w:w="1497" w:type="pct"/>
            <w:gridSpan w:val="2"/>
            <w:vAlign w:val="center"/>
          </w:tcPr>
          <w:p w14:paraId="66F9C75A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</w:tr>
      <w:tr w14:paraId="5775F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377AAE46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691" w:type="pct"/>
            <w:gridSpan w:val="3"/>
            <w:vAlign w:val="center"/>
          </w:tcPr>
          <w:p w14:paraId="4E428363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李廷希</w:t>
            </w:r>
          </w:p>
        </w:tc>
        <w:tc>
          <w:tcPr>
            <w:tcW w:w="1451" w:type="pct"/>
            <w:gridSpan w:val="3"/>
            <w:vAlign w:val="center"/>
          </w:tcPr>
          <w:p w14:paraId="5F02FF92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  <w:tc>
          <w:tcPr>
            <w:tcW w:w="1497" w:type="pct"/>
            <w:gridSpan w:val="2"/>
            <w:vAlign w:val="center"/>
          </w:tcPr>
          <w:p w14:paraId="3B074F71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</w:tr>
      <w:tr w14:paraId="7748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3A5AC660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691" w:type="pct"/>
            <w:gridSpan w:val="3"/>
            <w:vAlign w:val="center"/>
          </w:tcPr>
          <w:p w14:paraId="2BFDD2E5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李伟</w:t>
            </w:r>
          </w:p>
        </w:tc>
        <w:tc>
          <w:tcPr>
            <w:tcW w:w="1451" w:type="pct"/>
            <w:gridSpan w:val="3"/>
            <w:vAlign w:val="center"/>
          </w:tcPr>
          <w:p w14:paraId="66AF53E8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  <w:tc>
          <w:tcPr>
            <w:tcW w:w="1497" w:type="pct"/>
            <w:gridSpan w:val="2"/>
            <w:vAlign w:val="center"/>
          </w:tcPr>
          <w:p w14:paraId="4C815B88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</w:tr>
      <w:tr w14:paraId="19BF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5000" w:type="pct"/>
            <w:gridSpan w:val="9"/>
            <w:vAlign w:val="center"/>
          </w:tcPr>
          <w:p w14:paraId="5F09E5BE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主要完成单位</w:t>
            </w:r>
          </w:p>
        </w:tc>
      </w:tr>
      <w:tr w14:paraId="3927C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636364C2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排名</w:t>
            </w:r>
          </w:p>
        </w:tc>
        <w:tc>
          <w:tcPr>
            <w:tcW w:w="4640" w:type="pct"/>
            <w:gridSpan w:val="8"/>
            <w:vAlign w:val="center"/>
          </w:tcPr>
          <w:p w14:paraId="771D4688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hint="eastAsia" w:cs="Times New Roman" w:eastAsiaTheme="minorEastAsia"/>
                <w:kern w:val="0"/>
                <w:sz w:val="24"/>
              </w:rPr>
              <w:t>单位名称</w:t>
            </w:r>
          </w:p>
        </w:tc>
      </w:tr>
      <w:tr w14:paraId="0322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468B2E79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1</w:t>
            </w:r>
          </w:p>
        </w:tc>
        <w:tc>
          <w:tcPr>
            <w:tcW w:w="4640" w:type="pct"/>
            <w:gridSpan w:val="8"/>
            <w:vAlign w:val="center"/>
          </w:tcPr>
          <w:p w14:paraId="6482A5E1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山东科技大学</w:t>
            </w:r>
          </w:p>
        </w:tc>
      </w:tr>
      <w:tr w14:paraId="662AD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59" w:type="pct"/>
            <w:vAlign w:val="center"/>
          </w:tcPr>
          <w:p w14:paraId="632DFD6E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2</w:t>
            </w:r>
          </w:p>
        </w:tc>
        <w:tc>
          <w:tcPr>
            <w:tcW w:w="4640" w:type="pct"/>
            <w:gridSpan w:val="8"/>
            <w:vAlign w:val="center"/>
          </w:tcPr>
          <w:p w14:paraId="76604458">
            <w:pPr>
              <w:snapToGrid w:val="0"/>
              <w:spacing w:after="0" w:line="240" w:lineRule="auto"/>
              <w:jc w:val="center"/>
              <w:rPr>
                <w:rFonts w:hint="default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 w:eastAsiaTheme="minorEastAsia"/>
                <w:kern w:val="0"/>
                <w:sz w:val="24"/>
                <w:lang w:val="en-US" w:eastAsia="zh-CN"/>
              </w:rPr>
              <w:t>南京航空航天大学</w:t>
            </w:r>
          </w:p>
        </w:tc>
      </w:tr>
      <w:tr w14:paraId="6898A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5000" w:type="pct"/>
            <w:gridSpan w:val="9"/>
            <w:vAlign w:val="center"/>
          </w:tcPr>
          <w:p w14:paraId="1583491D">
            <w:pPr>
              <w:pStyle w:val="2"/>
              <w:jc w:val="center"/>
              <w:rPr>
                <w:rFonts w:cs="Times New Roman" w:eastAsiaTheme="minorEastAsia"/>
                <w:kern w:val="0"/>
              </w:rPr>
            </w:pPr>
            <w:r>
              <w:rPr>
                <w:rFonts w:ascii="Times New Roman" w:cs="Times New Roman" w:eastAsiaTheme="minorEastAsia"/>
                <w:kern w:val="0"/>
              </w:rPr>
              <w:t>代表性论文专著目录（限5篇）</w:t>
            </w:r>
          </w:p>
        </w:tc>
      </w:tr>
      <w:tr w14:paraId="2DFE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4394E882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序号</w:t>
            </w:r>
          </w:p>
        </w:tc>
        <w:tc>
          <w:tcPr>
            <w:tcW w:w="1602" w:type="pct"/>
            <w:gridSpan w:val="2"/>
            <w:vAlign w:val="center"/>
          </w:tcPr>
          <w:p w14:paraId="42A8925A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论文（专著）名称</w:t>
            </w:r>
          </w:p>
        </w:tc>
        <w:tc>
          <w:tcPr>
            <w:tcW w:w="675" w:type="pct"/>
            <w:gridSpan w:val="2"/>
            <w:vAlign w:val="center"/>
          </w:tcPr>
          <w:p w14:paraId="07D04C68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刊名</w:t>
            </w:r>
          </w:p>
          <w:p w14:paraId="58035957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（出版社）</w:t>
            </w:r>
          </w:p>
        </w:tc>
        <w:tc>
          <w:tcPr>
            <w:tcW w:w="650" w:type="pct"/>
            <w:vAlign w:val="center"/>
          </w:tcPr>
          <w:p w14:paraId="138745DC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发表（出版）时间</w:t>
            </w:r>
          </w:p>
        </w:tc>
        <w:tc>
          <w:tcPr>
            <w:tcW w:w="783" w:type="pct"/>
            <w:gridSpan w:val="2"/>
            <w:vAlign w:val="center"/>
          </w:tcPr>
          <w:p w14:paraId="478FC7F0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通讯作者</w:t>
            </w:r>
          </w:p>
          <w:p w14:paraId="71F612CF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（含共同）</w:t>
            </w:r>
          </w:p>
        </w:tc>
        <w:tc>
          <w:tcPr>
            <w:tcW w:w="927" w:type="pct"/>
            <w:vAlign w:val="center"/>
          </w:tcPr>
          <w:p w14:paraId="083C7A20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第一作者</w:t>
            </w:r>
          </w:p>
          <w:p w14:paraId="1325D8E5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24"/>
              </w:rPr>
            </w:pPr>
            <w:r>
              <w:rPr>
                <w:rFonts w:cs="Times New Roman" w:eastAsiaTheme="minorEastAsia"/>
                <w:kern w:val="0"/>
                <w:sz w:val="24"/>
              </w:rPr>
              <w:t>（含共同）</w:t>
            </w:r>
          </w:p>
        </w:tc>
      </w:tr>
      <w:tr w14:paraId="44BE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359" w:type="pct"/>
            <w:vAlign w:val="center"/>
          </w:tcPr>
          <w:p w14:paraId="4323C62E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cs="Times New Roman" w:eastAsiaTheme="minorEastAsia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602" w:type="pct"/>
            <w:gridSpan w:val="2"/>
            <w:vAlign w:val="center"/>
          </w:tcPr>
          <w:p w14:paraId="25338F19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Hierarchical porous carbons with layer-by-layer motif architectures from confined soft-template self-assembly in layered materials</w:t>
            </w:r>
          </w:p>
        </w:tc>
        <w:tc>
          <w:tcPr>
            <w:tcW w:w="675" w:type="pct"/>
            <w:gridSpan w:val="2"/>
            <w:vAlign w:val="center"/>
          </w:tcPr>
          <w:p w14:paraId="64A357B2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Nature Communications</w:t>
            </w:r>
          </w:p>
        </w:tc>
        <w:tc>
          <w:tcPr>
            <w:tcW w:w="650" w:type="pct"/>
            <w:vAlign w:val="center"/>
          </w:tcPr>
          <w:p w14:paraId="0D357B22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2017.06.12</w:t>
            </w:r>
          </w:p>
        </w:tc>
        <w:tc>
          <w:tcPr>
            <w:tcW w:w="783" w:type="pct"/>
            <w:gridSpan w:val="2"/>
            <w:vAlign w:val="center"/>
          </w:tcPr>
          <w:p w14:paraId="5C599A11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Xiaogang Zhang, Yusuke Yamauchi</w:t>
            </w:r>
          </w:p>
        </w:tc>
        <w:tc>
          <w:tcPr>
            <w:tcW w:w="927" w:type="pct"/>
            <w:vAlign w:val="center"/>
          </w:tcPr>
          <w:p w14:paraId="1EE690F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Jie Wang, Jing Tang</w:t>
            </w:r>
          </w:p>
        </w:tc>
      </w:tr>
      <w:tr w14:paraId="7966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359" w:type="pct"/>
            <w:vAlign w:val="center"/>
          </w:tcPr>
          <w:p w14:paraId="54F71440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16"/>
                <w:szCs w:val="16"/>
              </w:rPr>
            </w:pPr>
            <w:r>
              <w:rPr>
                <w:rFonts w:hint="eastAsia" w:cs="Times New Roman" w:eastAsia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602" w:type="pct"/>
            <w:gridSpan w:val="2"/>
            <w:vAlign w:val="center"/>
          </w:tcPr>
          <w:p w14:paraId="23EC978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Conducting </w:t>
            </w:r>
            <w:r>
              <w:rPr>
                <w:rFonts w:hint="eastAsia" w:ascii="Times New Roman"/>
                <w:sz w:val="16"/>
                <w:szCs w:val="16"/>
                <w:lang w:val="en-US" w:eastAsia="zh-CN"/>
              </w:rPr>
              <w:t>p</w:t>
            </w:r>
            <w:r>
              <w:rPr>
                <w:rFonts w:ascii="Times New Roman"/>
                <w:sz w:val="16"/>
                <w:szCs w:val="16"/>
              </w:rPr>
              <w:t xml:space="preserve">olymers for </w:t>
            </w:r>
            <w:r>
              <w:rPr>
                <w:rFonts w:hint="eastAsia" w:ascii="Times New Roman"/>
                <w:sz w:val="16"/>
                <w:szCs w:val="16"/>
                <w:lang w:val="en-US" w:eastAsia="zh-CN"/>
              </w:rPr>
              <w:t>f</w:t>
            </w:r>
            <w:r>
              <w:rPr>
                <w:rFonts w:ascii="Times New Roman"/>
                <w:sz w:val="16"/>
                <w:szCs w:val="16"/>
              </w:rPr>
              <w:t xml:space="preserve">lexible </w:t>
            </w:r>
            <w:r>
              <w:rPr>
                <w:rFonts w:hint="eastAsia" w:ascii="Times New Roman"/>
                <w:sz w:val="16"/>
                <w:szCs w:val="16"/>
                <w:lang w:val="en-US" w:eastAsia="zh-CN"/>
              </w:rPr>
              <w:t>s</w:t>
            </w:r>
            <w:r>
              <w:rPr>
                <w:rFonts w:ascii="Times New Roman"/>
                <w:sz w:val="16"/>
                <w:szCs w:val="16"/>
              </w:rPr>
              <w:t>upercapacitors</w:t>
            </w:r>
          </w:p>
        </w:tc>
        <w:tc>
          <w:tcPr>
            <w:tcW w:w="675" w:type="pct"/>
            <w:gridSpan w:val="2"/>
            <w:vAlign w:val="center"/>
          </w:tcPr>
          <w:p w14:paraId="44F42CE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Macromolecular Chemistry and Physics</w:t>
            </w:r>
          </w:p>
        </w:tc>
        <w:tc>
          <w:tcPr>
            <w:tcW w:w="650" w:type="pct"/>
            <w:vAlign w:val="center"/>
          </w:tcPr>
          <w:p w14:paraId="500E52D9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2019.01.15</w:t>
            </w:r>
          </w:p>
        </w:tc>
        <w:tc>
          <w:tcPr>
            <w:tcW w:w="783" w:type="pct"/>
            <w:gridSpan w:val="2"/>
            <w:vAlign w:val="center"/>
          </w:tcPr>
          <w:p w14:paraId="3B5DDB3C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Liming Dai</w:t>
            </w:r>
          </w:p>
        </w:tc>
        <w:tc>
          <w:tcPr>
            <w:tcW w:w="927" w:type="pct"/>
            <w:vAlign w:val="center"/>
          </w:tcPr>
          <w:p w14:paraId="76613E93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Yongqin Han</w:t>
            </w:r>
          </w:p>
        </w:tc>
      </w:tr>
      <w:tr w14:paraId="1F089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1AE6F0EB">
            <w:pPr>
              <w:snapToGrid w:val="0"/>
              <w:spacing w:after="0" w:line="240" w:lineRule="auto"/>
              <w:jc w:val="center"/>
              <w:rPr>
                <w:rFonts w:hint="eastAsia" w:cs="Times New Roman" w:eastAsia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cs="Times New Roman" w:eastAsiaTheme="minorEastAsia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602" w:type="pct"/>
            <w:gridSpan w:val="2"/>
            <w:vAlign w:val="center"/>
          </w:tcPr>
          <w:p w14:paraId="28B53633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Preparation and electrochemical performances of graphene/polypyrrole nanocomposite with anthraquinone-graphene oxide as active oxidant </w:t>
            </w:r>
          </w:p>
        </w:tc>
        <w:tc>
          <w:tcPr>
            <w:tcW w:w="675" w:type="pct"/>
            <w:gridSpan w:val="2"/>
            <w:vAlign w:val="center"/>
          </w:tcPr>
          <w:p w14:paraId="4AECF94D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Carbon</w:t>
            </w:r>
          </w:p>
        </w:tc>
        <w:tc>
          <w:tcPr>
            <w:tcW w:w="650" w:type="pct"/>
            <w:vAlign w:val="center"/>
          </w:tcPr>
          <w:p w14:paraId="0024D059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2017.04.21</w:t>
            </w:r>
          </w:p>
        </w:tc>
        <w:tc>
          <w:tcPr>
            <w:tcW w:w="783" w:type="pct"/>
            <w:gridSpan w:val="2"/>
            <w:vAlign w:val="center"/>
          </w:tcPr>
          <w:p w14:paraId="1F59A3DA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Yongqin Han, Xiaogang Zhang</w:t>
            </w:r>
          </w:p>
        </w:tc>
        <w:tc>
          <w:tcPr>
            <w:tcW w:w="927" w:type="pct"/>
            <w:vAlign w:val="center"/>
          </w:tcPr>
          <w:p w14:paraId="4CEF9A8B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Yongqin Han</w:t>
            </w:r>
          </w:p>
        </w:tc>
      </w:tr>
      <w:tr w14:paraId="3A02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3FFD84D7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hint="eastAsia" w:cs="Times New Roman" w:eastAsiaTheme="minor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602" w:type="pct"/>
            <w:gridSpan w:val="2"/>
            <w:vAlign w:val="center"/>
          </w:tcPr>
          <w:p w14:paraId="7BDDFE4C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Flexible Ti</w:t>
            </w:r>
            <w:r>
              <w:rPr>
                <w:rFonts w:ascii="Times New Roman"/>
                <w:sz w:val="16"/>
                <w:szCs w:val="16"/>
                <w:vertAlign w:val="subscript"/>
              </w:rPr>
              <w:t>3</w:t>
            </w:r>
            <w:r>
              <w:rPr>
                <w:rFonts w:ascii="Times New Roman"/>
                <w:sz w:val="16"/>
                <w:szCs w:val="16"/>
              </w:rPr>
              <w:t>C</w:t>
            </w:r>
            <w:r>
              <w:rPr>
                <w:rFonts w:ascii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/>
                <w:sz w:val="16"/>
                <w:szCs w:val="16"/>
              </w:rPr>
              <w:t>T</w:t>
            </w:r>
            <w:r>
              <w:rPr>
                <w:rFonts w:ascii="Times New Roman"/>
                <w:sz w:val="16"/>
                <w:szCs w:val="16"/>
                <w:vertAlign w:val="subscript"/>
              </w:rPr>
              <w:t>x</w:t>
            </w:r>
            <w:r>
              <w:rPr>
                <w:rFonts w:ascii="Times New Roman"/>
                <w:sz w:val="16"/>
                <w:szCs w:val="16"/>
              </w:rPr>
              <w:t xml:space="preserve"> MXene/V</w:t>
            </w:r>
            <w:r>
              <w:rPr>
                <w:rFonts w:ascii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/>
                <w:sz w:val="16"/>
                <w:szCs w:val="16"/>
              </w:rPr>
              <w:t>O</w:t>
            </w:r>
            <w:r>
              <w:rPr>
                <w:rFonts w:ascii="Times New Roman"/>
                <w:sz w:val="16"/>
                <w:szCs w:val="16"/>
                <w:vertAlign w:val="subscript"/>
              </w:rPr>
              <w:t>5</w:t>
            </w:r>
            <w:r>
              <w:rPr>
                <w:rFonts w:ascii="Times New Roman"/>
                <w:sz w:val="16"/>
                <w:szCs w:val="16"/>
              </w:rPr>
              <w:t xml:space="preserve"> composite films for high-performance all-solid supercapacitors</w:t>
            </w:r>
          </w:p>
        </w:tc>
        <w:tc>
          <w:tcPr>
            <w:tcW w:w="675" w:type="pct"/>
            <w:gridSpan w:val="2"/>
            <w:vAlign w:val="center"/>
          </w:tcPr>
          <w:p w14:paraId="0E71B3C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Journal of Energy Storage</w:t>
            </w:r>
          </w:p>
        </w:tc>
        <w:tc>
          <w:tcPr>
            <w:tcW w:w="650" w:type="pct"/>
            <w:vAlign w:val="center"/>
          </w:tcPr>
          <w:p w14:paraId="3B0AB109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2023.02.15</w:t>
            </w:r>
          </w:p>
        </w:tc>
        <w:tc>
          <w:tcPr>
            <w:tcW w:w="783" w:type="pct"/>
            <w:gridSpan w:val="2"/>
            <w:vAlign w:val="center"/>
          </w:tcPr>
          <w:p w14:paraId="243674A6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color w:val="auto"/>
                <w:sz w:val="16"/>
                <w:szCs w:val="16"/>
              </w:rPr>
              <w:t xml:space="preserve">Tingxi Li, </w:t>
            </w:r>
            <w:r>
              <w:rPr>
                <w:rFonts w:ascii="Times New Roman"/>
                <w:sz w:val="16"/>
                <w:szCs w:val="16"/>
              </w:rPr>
              <w:t>Chunping Hou, Yong Ma</w:t>
            </w:r>
          </w:p>
        </w:tc>
        <w:tc>
          <w:tcPr>
            <w:tcW w:w="927" w:type="pct"/>
            <w:vAlign w:val="center"/>
          </w:tcPr>
          <w:p w14:paraId="5825B7A1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Wenlong Luo</w:t>
            </w:r>
          </w:p>
        </w:tc>
      </w:tr>
      <w:tr w14:paraId="1CA2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59" w:type="pct"/>
            <w:vAlign w:val="center"/>
          </w:tcPr>
          <w:p w14:paraId="0DCBAD21">
            <w:pPr>
              <w:snapToGrid w:val="0"/>
              <w:spacing w:after="0" w:line="240" w:lineRule="auto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hint="eastAsia" w:cs="Times New Roman" w:eastAsiaTheme="minor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1602" w:type="pct"/>
            <w:gridSpan w:val="2"/>
            <w:vAlign w:val="center"/>
          </w:tcPr>
          <w:p w14:paraId="59BD721A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All pseudocapacitive MXene-MnO</w:t>
            </w:r>
            <w:r>
              <w:rPr>
                <w:rFonts w:ascii="Times New Roman"/>
                <w:sz w:val="16"/>
                <w:szCs w:val="16"/>
                <w:vertAlign w:val="subscript"/>
              </w:rPr>
              <w:t>2</w:t>
            </w:r>
            <w:r>
              <w:rPr>
                <w:rFonts w:ascii="Times New Roman"/>
                <w:sz w:val="16"/>
                <w:szCs w:val="16"/>
              </w:rPr>
              <w:t xml:space="preserve"> flexible asymmetric supercapacitor</w:t>
            </w:r>
          </w:p>
        </w:tc>
        <w:tc>
          <w:tcPr>
            <w:tcW w:w="675" w:type="pct"/>
            <w:gridSpan w:val="2"/>
            <w:vAlign w:val="center"/>
          </w:tcPr>
          <w:p w14:paraId="53CF223D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Journal of Energy Storage</w:t>
            </w:r>
          </w:p>
        </w:tc>
        <w:tc>
          <w:tcPr>
            <w:tcW w:w="650" w:type="pct"/>
            <w:vAlign w:val="center"/>
          </w:tcPr>
          <w:p w14:paraId="4C617359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2021.12.06</w:t>
            </w:r>
          </w:p>
        </w:tc>
        <w:tc>
          <w:tcPr>
            <w:tcW w:w="783" w:type="pct"/>
            <w:gridSpan w:val="2"/>
            <w:vAlign w:val="center"/>
          </w:tcPr>
          <w:p w14:paraId="5192FA7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Mingliang Ma, Tingxi Li, </w:t>
            </w:r>
            <w:r>
              <w:rPr>
                <w:rFonts w:ascii="Times New Roman"/>
                <w:color w:val="auto"/>
                <w:sz w:val="16"/>
                <w:szCs w:val="16"/>
              </w:rPr>
              <w:t>Yong Ma</w:t>
            </w:r>
          </w:p>
        </w:tc>
        <w:tc>
          <w:tcPr>
            <w:tcW w:w="927" w:type="pct"/>
            <w:vAlign w:val="center"/>
          </w:tcPr>
          <w:p w14:paraId="0E9F9EF8">
            <w:pPr>
              <w:pStyle w:val="2"/>
              <w:adjustRightInd w:val="0"/>
              <w:spacing w:after="50" w:line="320" w:lineRule="exact"/>
              <w:ind w:firstLine="0" w:firstLineChars="0"/>
              <w:jc w:val="center"/>
              <w:rPr>
                <w:rFonts w:cs="Times New Roman" w:eastAsiaTheme="minorEastAsia"/>
                <w:kern w:val="0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Yudi Wei</w:t>
            </w:r>
          </w:p>
        </w:tc>
      </w:tr>
    </w:tbl>
    <w:p w14:paraId="255EB23F">
      <w:pPr>
        <w:snapToGrid w:val="0"/>
        <w:spacing w:before="435" w:beforeLines="100" w:after="0" w:line="240" w:lineRule="auto"/>
        <w:jc w:val="both"/>
        <w:rPr>
          <w:rFonts w:cs="Times New Roman" w:eastAsiaTheme="minorEastAsia"/>
          <w:b/>
          <w:bCs/>
          <w:szCs w:val="28"/>
        </w:rPr>
      </w:pPr>
    </w:p>
    <w:sectPr>
      <w:footerReference r:id="rId5" w:type="default"/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9439411"/>
    </w:sdtPr>
    <w:sdtEndPr>
      <w:rPr>
        <w:rFonts w:cs="Times New Roman" w:eastAsiaTheme="minorEastAsia"/>
        <w:sz w:val="21"/>
        <w:szCs w:val="21"/>
      </w:rPr>
    </w:sdtEndPr>
    <w:sdtContent>
      <w:sdt>
        <w:sdtPr>
          <w:id w:val="-770234467"/>
        </w:sdtPr>
        <w:sdtEndPr>
          <w:rPr>
            <w:rFonts w:cs="Times New Roman" w:eastAsiaTheme="minorEastAsia"/>
            <w:sz w:val="21"/>
            <w:szCs w:val="21"/>
          </w:rPr>
        </w:sdtEndPr>
        <w:sdtContent>
          <w:p w14:paraId="1062F818">
            <w:pPr>
              <w:pStyle w:val="3"/>
              <w:jc w:val="center"/>
              <w:rPr>
                <w:rFonts w:cs="Times New Roman" w:eastAsiaTheme="minorEastAsia"/>
                <w:sz w:val="21"/>
                <w:szCs w:val="21"/>
              </w:rPr>
            </w:pPr>
            <w:r>
              <w:rPr>
                <w:rFonts w:cs="Times New Roman" w:eastAsiaTheme="minorEastAsia"/>
                <w:sz w:val="21"/>
                <w:szCs w:val="21"/>
              </w:rPr>
              <w:t>第</w:t>
            </w:r>
            <w:r>
              <w:rPr>
                <w:rFonts w:cs="Times New Roman" w:eastAsiaTheme="minorEastAsia"/>
                <w:sz w:val="21"/>
                <w:szCs w:val="21"/>
                <w:lang w:val="zh-CN"/>
              </w:rPr>
              <w:t xml:space="preserve"> </w:t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fldChar w:fldCharType="begin"/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instrText xml:space="preserve">PAGE</w:instrText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fldChar w:fldCharType="separate"/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t>1</w:t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fldChar w:fldCharType="end"/>
            </w:r>
            <w:r>
              <w:rPr>
                <w:rFonts w:cs="Times New Roman" w:eastAsiaTheme="minorEastAsia"/>
                <w:sz w:val="21"/>
                <w:szCs w:val="21"/>
                <w:lang w:val="zh-CN"/>
              </w:rPr>
              <w:t xml:space="preserve"> 页/共 </w:t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fldChar w:fldCharType="begin"/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instrText xml:space="preserve">NUMPAGES</w:instrText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fldChar w:fldCharType="separate"/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t>1</w:t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fldChar w:fldCharType="end"/>
            </w:r>
            <w:r>
              <w:rPr>
                <w:rFonts w:cs="Times New Roman" w:eastAsiaTheme="minorEastAsia"/>
                <w:bCs/>
                <w:sz w:val="21"/>
                <w:szCs w:val="21"/>
              </w:rPr>
              <w:t xml:space="preserve"> 页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0C"/>
    <w:rsid w:val="00002337"/>
    <w:rsid w:val="00046B3D"/>
    <w:rsid w:val="0005146D"/>
    <w:rsid w:val="000D138A"/>
    <w:rsid w:val="001017A2"/>
    <w:rsid w:val="001465C1"/>
    <w:rsid w:val="001E4F85"/>
    <w:rsid w:val="001E6F66"/>
    <w:rsid w:val="003830AA"/>
    <w:rsid w:val="003A3154"/>
    <w:rsid w:val="003E27EE"/>
    <w:rsid w:val="004145FD"/>
    <w:rsid w:val="00464C6D"/>
    <w:rsid w:val="005E3249"/>
    <w:rsid w:val="00670C1C"/>
    <w:rsid w:val="0073168E"/>
    <w:rsid w:val="007908E3"/>
    <w:rsid w:val="007B0EC4"/>
    <w:rsid w:val="007F37EA"/>
    <w:rsid w:val="008951EC"/>
    <w:rsid w:val="00913719"/>
    <w:rsid w:val="009918C7"/>
    <w:rsid w:val="009F7330"/>
    <w:rsid w:val="00A0356D"/>
    <w:rsid w:val="00A439AD"/>
    <w:rsid w:val="00A56124"/>
    <w:rsid w:val="00A86F83"/>
    <w:rsid w:val="00BD151D"/>
    <w:rsid w:val="00C40A86"/>
    <w:rsid w:val="00C53B0C"/>
    <w:rsid w:val="00CD4347"/>
    <w:rsid w:val="00CE60E9"/>
    <w:rsid w:val="00D2146E"/>
    <w:rsid w:val="00E30655"/>
    <w:rsid w:val="00E65B86"/>
    <w:rsid w:val="00F33668"/>
    <w:rsid w:val="00F50C31"/>
    <w:rsid w:val="00F57350"/>
    <w:rsid w:val="00FB6CF3"/>
    <w:rsid w:val="00FE7644"/>
    <w:rsid w:val="013C06FA"/>
    <w:rsid w:val="0466530F"/>
    <w:rsid w:val="079B25E0"/>
    <w:rsid w:val="0D42705A"/>
    <w:rsid w:val="0D4C1C87"/>
    <w:rsid w:val="138228A6"/>
    <w:rsid w:val="16B26FFE"/>
    <w:rsid w:val="1E0C7E2F"/>
    <w:rsid w:val="23137077"/>
    <w:rsid w:val="33872B25"/>
    <w:rsid w:val="350441D0"/>
    <w:rsid w:val="3C4340D1"/>
    <w:rsid w:val="4AFE20F8"/>
    <w:rsid w:val="4F7B0C77"/>
    <w:rsid w:val="514C6986"/>
    <w:rsid w:val="5A1D2B64"/>
    <w:rsid w:val="65D8156A"/>
    <w:rsid w:val="69A27C23"/>
    <w:rsid w:val="7097171B"/>
    <w:rsid w:val="766F29A1"/>
    <w:rsid w:val="76D35A76"/>
    <w:rsid w:val="7C37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560" w:lineRule="exact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1026</Characters>
  <Lines>298</Lines>
  <Paragraphs>117</Paragraphs>
  <TotalTime>19</TotalTime>
  <ScaleCrop>false</ScaleCrop>
  <LinksUpToDate>false</LinksUpToDate>
  <CharactersWithSpaces>1103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2025-03-15T05:00:00Z</dcterms:created>
  <dc:creator>刘畅</dc:creator>
  <cp:lastModifiedBy>永芹</cp:lastModifiedBy>
  <cp:lastPrinted>2026-09-21T00:39:40Z</cp:lastPrinted>
  <dcterms:modified xsi:type="dcterms:W3CDTF">2026-09-21T00:41:45Z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eyJoZGlkIjoiMThhZmZmZTM5YTU0YzZlOWM3YjExNzE2ZThjMTY2ZDIiLCJ1c2VySWQiOiIzNzk1MjIyMTkifQ==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CE3F02FD37CE4645973C71D89FAAD109_13</vt:lpwstr>
  </property>
</Properties>
</file>