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 w:cs="Times New Roman"/>
          <w:sz w:val="44"/>
          <w:szCs w:val="44"/>
        </w:rPr>
      </w:pPr>
      <w:bookmarkStart w:id="34" w:name="_GoBack"/>
      <w:bookmarkEnd w:id="34"/>
    </w:p>
    <w:p>
      <w:pPr>
        <w:jc w:val="center"/>
        <w:rPr>
          <w:rFonts w:hint="eastAsia" w:ascii="Times New Roman" w:hAnsi="Times New Roman" w:eastAsia="仿宋" w:cs="Times New Roman"/>
          <w:sz w:val="44"/>
          <w:szCs w:val="44"/>
        </w:rPr>
      </w:pPr>
      <w:r>
        <w:rPr>
          <w:rFonts w:hint="eastAsia" w:ascii="Times New Roman" w:hAnsi="Times New Roman" w:eastAsia="仿宋" w:cs="Times New Roman"/>
          <w:sz w:val="44"/>
          <w:szCs w:val="44"/>
        </w:rPr>
        <w:t>关于合作申报山西省自然科学奖的公示</w:t>
      </w:r>
    </w:p>
    <w:p>
      <w:pPr>
        <w:rPr>
          <w:rFonts w:ascii="Times New Roman" w:hAnsi="Times New Roman" w:eastAsia="仿宋" w:cs="Times New Roman"/>
          <w:sz w:val="32"/>
          <w:szCs w:val="32"/>
        </w:rPr>
      </w:pPr>
    </w:p>
    <w:p>
      <w:pPr>
        <w:rPr>
          <w:rFonts w:ascii="Times New Roman" w:hAnsi="Times New Roman" w:eastAsia="仿宋" w:cs="Times New Roman"/>
          <w:sz w:val="32"/>
          <w:szCs w:val="32"/>
        </w:rPr>
      </w:pPr>
      <w:r>
        <w:rPr>
          <w:rFonts w:ascii="Times New Roman" w:hAnsi="Times New Roman" w:eastAsia="仿宋" w:cs="Times New Roman"/>
          <w:sz w:val="32"/>
          <w:szCs w:val="32"/>
        </w:rPr>
        <w:t>项目名称：</w:t>
      </w:r>
    </w:p>
    <w:p>
      <w:pPr>
        <w:rPr>
          <w:rFonts w:ascii="Times New Roman" w:hAnsi="Times New Roman" w:eastAsia="仿宋" w:cs="Times New Roman"/>
          <w:b/>
          <w:bCs/>
          <w:sz w:val="32"/>
          <w:szCs w:val="32"/>
        </w:rPr>
      </w:pPr>
      <w:bookmarkStart w:id="0" w:name="OLE_LINK5"/>
      <w:r>
        <w:rPr>
          <w:rFonts w:hint="eastAsia" w:ascii="Times New Roman" w:hAnsi="Times New Roman" w:eastAsia="仿宋" w:cs="Times New Roman"/>
          <w:b/>
          <w:bCs/>
          <w:sz w:val="32"/>
          <w:szCs w:val="32"/>
        </w:rPr>
        <w:t>多酸超多电子对纳米笼激活机理及其限域碳化结构调控研究</w:t>
      </w:r>
    </w:p>
    <w:bookmarkEnd w:id="0"/>
    <w:p>
      <w:pPr>
        <w:rPr>
          <w:rFonts w:ascii="Times New Roman" w:hAnsi="Times New Roman" w:eastAsia="仿宋" w:cs="Times New Roman"/>
          <w:sz w:val="32"/>
          <w:szCs w:val="32"/>
        </w:rPr>
      </w:pPr>
      <w:r>
        <w:rPr>
          <w:rFonts w:ascii="Times New Roman" w:hAnsi="Times New Roman" w:eastAsia="仿宋" w:cs="Times New Roman"/>
          <w:sz w:val="32"/>
          <w:szCs w:val="32"/>
        </w:rPr>
        <w:t>提名者：</w:t>
      </w:r>
    </w:p>
    <w:p>
      <w:pPr>
        <w:rPr>
          <w:rFonts w:ascii="Times New Roman" w:hAnsi="Times New Roman" w:eastAsia="仿宋" w:cs="Times New Roman"/>
          <w:b/>
          <w:bCs/>
          <w:sz w:val="32"/>
          <w:szCs w:val="32"/>
        </w:rPr>
      </w:pPr>
      <w:r>
        <w:rPr>
          <w:rFonts w:ascii="Times New Roman" w:hAnsi="Times New Roman" w:eastAsia="仿宋" w:cs="Times New Roman"/>
          <w:b/>
          <w:bCs/>
          <w:sz w:val="32"/>
          <w:szCs w:val="32"/>
        </w:rPr>
        <w:t>太原理工大学</w:t>
      </w:r>
    </w:p>
    <w:p>
      <w:pPr>
        <w:rPr>
          <w:rFonts w:ascii="Times New Roman" w:hAnsi="Times New Roman" w:eastAsia="仿宋" w:cs="Times New Roman"/>
          <w:sz w:val="32"/>
          <w:szCs w:val="32"/>
        </w:rPr>
      </w:pPr>
      <w:r>
        <w:rPr>
          <w:rFonts w:ascii="Times New Roman" w:hAnsi="Times New Roman" w:eastAsia="仿宋" w:cs="Times New Roman"/>
          <w:sz w:val="32"/>
          <w:szCs w:val="32"/>
        </w:rPr>
        <w:t>公示内容：</w:t>
      </w:r>
    </w:p>
    <w:p>
      <w:pPr>
        <w:adjustRightInd w:val="0"/>
        <w:snapToGrid w:val="0"/>
        <w:spacing w:line="348" w:lineRule="auto"/>
        <w:textAlignment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提名意见：</w:t>
      </w:r>
    </w:p>
    <w:p>
      <w:pPr>
        <w:spacing w:line="360" w:lineRule="auto"/>
        <w:ind w:firstLine="640" w:firstLineChars="200"/>
        <w:rPr>
          <w:rFonts w:ascii="Times New Roman" w:hAnsi="Times New Roman" w:eastAsia="仿宋" w:cs="Times New Roman"/>
          <w:color w:val="000000"/>
          <w:sz w:val="32"/>
          <w:szCs w:val="32"/>
        </w:rPr>
      </w:pPr>
      <w:bookmarkStart w:id="1" w:name="OLE_LINK4"/>
      <w:r>
        <w:rPr>
          <w:rFonts w:hint="eastAsia" w:ascii="Times New Roman" w:hAnsi="Times New Roman" w:eastAsia="仿宋" w:cs="Times New Roman"/>
          <w:color w:val="000000"/>
          <w:sz w:val="32"/>
          <w:szCs w:val="32"/>
        </w:rPr>
        <w:t>多酸超多电子对纳米笼激活机理及其限域碳化结构调控研究项目提交材料真实有效。本项目围绕多酸在纳米笼内的超多电子对激活机理及其限域碳化结构调控的关键科学问题，取得了原创性重要成果。研究创建了“纳米笼限域固定多酸”新方法，首次发现“限域激活多酸多电子传输”新现象；阐明了限域环境通过调控界面电子态以激活电子传输的新机制，突破了多酸多电子转移的动力学瓶颈；提出了限域衍生碳化结构的跨尺度精准调控新策略，实现了从分子簇到金属碳化物的可控转化，制备出晶界丰富、活性位点高暴露的纳米结构，从根本上解决了衍生碳化物易团聚、稳定性差的核心难题。上述系统性创新实现了科学发现向高性能材料的转化，所发展的材料在电磁功能与能源电化学领域表现卓越，有力推动了多酸化学与功能纳米材料学科的交叉发展。所创制的高性能材料在电磁功能与能源电化学等关键领域展现出卓越性能，产生了重要的学术影响，有力推动了多酸化学与功能纳米材料学科的交叉发展。</w:t>
      </w:r>
      <w:bookmarkEnd w:id="1"/>
    </w:p>
    <w:p>
      <w:pPr>
        <w:spacing w:line="360" w:lineRule="auto"/>
        <w:ind w:firstLine="640" w:firstLineChars="200"/>
        <w:rPr>
          <w:rFonts w:ascii="Times New Roman" w:hAnsi="Times New Roman" w:eastAsia="仿宋" w:cs="Times New Roman"/>
          <w:color w:val="000000"/>
          <w:sz w:val="32"/>
          <w:szCs w:val="32"/>
        </w:rPr>
      </w:pPr>
      <w:r>
        <w:rPr>
          <w:rFonts w:ascii="Times New Roman" w:hAnsi="Times New Roman" w:eastAsia="仿宋" w:cs="Times New Roman"/>
          <w:sz w:val="32"/>
          <w:szCs w:val="32"/>
        </w:rPr>
        <w:t>本项目5篇代表性论文（</w:t>
      </w:r>
      <w:r>
        <w:rPr>
          <w:rFonts w:ascii="Times New Roman" w:hAnsi="Times New Roman" w:eastAsia="仿宋" w:cs="Times New Roman"/>
          <w:i/>
          <w:iCs/>
          <w:sz w:val="32"/>
          <w:szCs w:val="32"/>
        </w:rPr>
        <w:t>Small</w:t>
      </w:r>
      <w:r>
        <w:rPr>
          <w:rFonts w:ascii="Times New Roman" w:hAnsi="Times New Roman" w:eastAsia="仿宋" w:cs="Times New Roman"/>
          <w:sz w:val="32"/>
          <w:szCs w:val="32"/>
        </w:rPr>
        <w:t>,</w:t>
      </w:r>
      <w:r>
        <w:rPr>
          <w:rFonts w:hint="eastAsia" w:ascii="Times New Roman" w:hAnsi="Times New Roman" w:eastAsia="仿宋" w:cs="Times New Roman"/>
          <w:sz w:val="32"/>
          <w:szCs w:val="32"/>
        </w:rPr>
        <w:t xml:space="preserve"> </w:t>
      </w:r>
      <w:r>
        <w:rPr>
          <w:rFonts w:hint="eastAsia" w:ascii="Times New Roman" w:hAnsi="Times New Roman" w:eastAsia="仿宋" w:cs="Times New Roman"/>
          <w:i/>
          <w:iCs/>
          <w:sz w:val="32"/>
          <w:szCs w:val="32"/>
        </w:rPr>
        <w:t>Energy Environmental Materials,</w:t>
      </w:r>
      <w:r>
        <w:rPr>
          <w:rFonts w:ascii="Times New Roman" w:hAnsi="Times New Roman" w:eastAsia="仿宋" w:cs="Times New Roman"/>
          <w:sz w:val="32"/>
          <w:szCs w:val="32"/>
        </w:rPr>
        <w:t xml:space="preserve"> </w:t>
      </w:r>
      <w:r>
        <w:rPr>
          <w:rFonts w:ascii="Times New Roman" w:hAnsi="Times New Roman" w:eastAsia="仿宋" w:cs="Times New Roman"/>
          <w:i/>
          <w:iCs/>
          <w:sz w:val="32"/>
          <w:szCs w:val="32"/>
        </w:rPr>
        <w:t>Nanoscale, Electrochimica Acta</w:t>
      </w:r>
      <w:r>
        <w:rPr>
          <w:rFonts w:hint="eastAsia" w:ascii="Times New Roman" w:hAnsi="Times New Roman" w:eastAsia="仿宋" w:cs="Times New Roman"/>
          <w:i/>
          <w:iCs/>
          <w:sz w:val="32"/>
          <w:szCs w:val="32"/>
        </w:rPr>
        <w:t>,</w:t>
      </w:r>
      <w:r>
        <w:rPr>
          <w:rFonts w:ascii="Times New Roman" w:hAnsi="Times New Roman" w:eastAsia="仿宋" w:cs="Times New Roman"/>
          <w:i/>
          <w:iCs/>
          <w:sz w:val="32"/>
          <w:szCs w:val="32"/>
        </w:rPr>
        <w:t xml:space="preserve"> Journal of Hazardous Materials</w:t>
      </w:r>
      <w:r>
        <w:rPr>
          <w:rFonts w:ascii="Times New Roman" w:hAnsi="Times New Roman" w:eastAsia="仿宋" w:cs="Times New Roman"/>
          <w:sz w:val="32"/>
          <w:szCs w:val="32"/>
        </w:rPr>
        <w:t>）</w:t>
      </w:r>
      <w:r>
        <w:rPr>
          <w:rFonts w:hint="eastAsia" w:ascii="Times New Roman" w:hAnsi="Times New Roman" w:eastAsia="仿宋" w:cs="Times New Roman"/>
          <w:sz w:val="32"/>
          <w:szCs w:val="32"/>
        </w:rPr>
        <w:t>的</w:t>
      </w:r>
      <w:r>
        <w:rPr>
          <w:rFonts w:ascii="Times New Roman" w:hAnsi="Times New Roman" w:eastAsia="仿宋" w:cs="Times New Roman"/>
          <w:color w:val="000000"/>
          <w:sz w:val="32"/>
          <w:szCs w:val="32"/>
        </w:rPr>
        <w:t>完成人均对本提名项目做出了实质性贡献</w:t>
      </w:r>
      <w:r>
        <w:rPr>
          <w:rFonts w:hint="eastAsia" w:ascii="Times New Roman" w:hAnsi="Times New Roman" w:eastAsia="仿宋" w:cs="Times New Roman"/>
          <w:color w:val="000000"/>
          <w:sz w:val="32"/>
          <w:szCs w:val="32"/>
        </w:rPr>
        <w:t>，</w:t>
      </w:r>
      <w:r>
        <w:rPr>
          <w:rFonts w:ascii="Times New Roman" w:hAnsi="Times New Roman" w:eastAsia="仿宋" w:cs="Times New Roman"/>
          <w:color w:val="000000"/>
          <w:sz w:val="32"/>
          <w:szCs w:val="32"/>
        </w:rPr>
        <w:t xml:space="preserve">提名该项目为山西省自然科学奖二等奖。 </w:t>
      </w:r>
    </w:p>
    <w:p>
      <w:pPr>
        <w:spacing w:line="360" w:lineRule="auto"/>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项目简介：</w:t>
      </w:r>
    </w:p>
    <w:p>
      <w:pPr>
        <w:adjustRightInd w:val="0"/>
        <w:snapToGrid w:val="0"/>
        <w:spacing w:line="348" w:lineRule="auto"/>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研究针对多酸材料氧化还原活性低（通常仅3对可逆峰）这一国际性难题，原创性提出“纳米笼限域激活”新策略，成功实现了高达9对氧化还原峰的创纪录性能，达到国际领先水平。通过构建刚性碳纳米笼，将多酸以单分子态精准固定于其空腔内，解决了活性组分溶解失稳的根本问题。揭示了限域效应通过“空间约束”稳定多步反应中间体，并通过“电子调制”激活多个氧化还原中心，从而突破性实现九电子对可逆转移；进一步通过热解调控碳笼导电网络与界面特性，优化了电荷传输动力学，实现了对限域碳化结构的调控，实现了过渡金属碳化物跨尺度结构调控。所创制的材料在电磁功能与能源电化学等关键领域展现出卓越性能，产生了重要的学术影响，有力推动了多酸化学与功能纳米材料学科的交叉发展。本工作开辟了通过限域工程激发分子本征电化学活性的新范式，为设计下一代高性能储能与转换材料奠定了关键科学基础。</w:t>
      </w:r>
    </w:p>
    <w:p>
      <w:pPr>
        <w:adjustRightInd w:val="0"/>
        <w:snapToGrid w:val="0"/>
        <w:spacing w:line="348" w:lineRule="auto"/>
        <w:ind w:firstLine="640" w:firstLineChars="200"/>
        <w:textAlignment w:val="center"/>
        <w:rPr>
          <w:rFonts w:ascii="Times New Roman" w:hAnsi="Times New Roman" w:eastAsia="仿宋" w:cs="Times New Roman"/>
          <w:color w:val="EE0000"/>
          <w:kern w:val="0"/>
          <w:sz w:val="32"/>
          <w:szCs w:val="32"/>
          <w:lang w:bidi="zh-CN"/>
        </w:rPr>
      </w:pPr>
      <w:r>
        <w:rPr>
          <w:rFonts w:ascii="Times New Roman" w:hAnsi="Times New Roman" w:eastAsia="仿宋" w:cs="Times New Roman"/>
          <w:sz w:val="32"/>
          <w:szCs w:val="32"/>
        </w:rPr>
        <w:t>本项目5篇代表性论文被引用</w:t>
      </w:r>
      <w:r>
        <w:rPr>
          <w:rFonts w:hint="eastAsia" w:ascii="Times New Roman" w:hAnsi="Times New Roman" w:eastAsia="仿宋" w:cs="Times New Roman"/>
          <w:sz w:val="32"/>
          <w:szCs w:val="32"/>
        </w:rPr>
        <w:t>302</w:t>
      </w:r>
      <w:r>
        <w:rPr>
          <w:rFonts w:ascii="Times New Roman" w:hAnsi="Times New Roman" w:eastAsia="仿宋" w:cs="Times New Roman"/>
          <w:sz w:val="32"/>
          <w:szCs w:val="32"/>
        </w:rPr>
        <w:t>次，封面论文2篇。</w:t>
      </w:r>
    </w:p>
    <w:p>
      <w:pPr>
        <w:autoSpaceDE w:val="0"/>
        <w:autoSpaceDN w:val="0"/>
        <w:adjustRightInd w:val="0"/>
        <w:snapToGrid w:val="0"/>
        <w:spacing w:line="336" w:lineRule="auto"/>
        <w:ind w:right="42" w:rightChars="20"/>
        <w:textAlignment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代表性论文专著目录：</w:t>
      </w:r>
    </w:p>
    <w:tbl>
      <w:tblPr>
        <w:tblStyle w:val="5"/>
        <w:tblW w:w="82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114"/>
        <w:gridCol w:w="850"/>
        <w:gridCol w:w="851"/>
        <w:gridCol w:w="1117"/>
        <w:gridCol w:w="725"/>
        <w:gridCol w:w="1418"/>
        <w:gridCol w:w="425"/>
        <w:gridCol w:w="567"/>
        <w:gridCol w:w="71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36"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bookmarkStart w:id="2" w:name="_Hlk234593578"/>
            <w:r>
              <w:rPr>
                <w:rFonts w:ascii="Times New Roman" w:hAnsi="Times New Roman" w:eastAsia="仿宋" w:cs="Times New Roman"/>
                <w:color w:val="000000"/>
                <w:sz w:val="15"/>
                <w:szCs w:val="15"/>
              </w:rPr>
              <w:t>序号</w:t>
            </w:r>
          </w:p>
        </w:tc>
        <w:tc>
          <w:tcPr>
            <w:tcW w:w="1114"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论文（专著）</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名称/刊名</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/作者</w:t>
            </w:r>
          </w:p>
        </w:tc>
        <w:tc>
          <w:tcPr>
            <w:tcW w:w="850"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期刊</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年卷页码</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（xx年xx卷xx页）</w:t>
            </w:r>
          </w:p>
        </w:tc>
        <w:tc>
          <w:tcPr>
            <w:tcW w:w="851"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发表时间（年月 日）</w:t>
            </w:r>
          </w:p>
        </w:tc>
        <w:tc>
          <w:tcPr>
            <w:tcW w:w="11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通讯作者（含共同）</w:t>
            </w:r>
          </w:p>
        </w:tc>
        <w:tc>
          <w:tcPr>
            <w:tcW w:w="7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第一作者（含共同）</w:t>
            </w:r>
          </w:p>
        </w:tc>
        <w:tc>
          <w:tcPr>
            <w:tcW w:w="1418"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所有作者</w:t>
            </w:r>
          </w:p>
        </w:tc>
        <w:tc>
          <w:tcPr>
            <w:tcW w:w="4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他引总次数</w:t>
            </w:r>
          </w:p>
        </w:tc>
        <w:tc>
          <w:tcPr>
            <w:tcW w:w="56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检索数据库</w:t>
            </w:r>
          </w:p>
        </w:tc>
        <w:tc>
          <w:tcPr>
            <w:tcW w:w="7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论文署名单位是否包含国外单位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36"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bookmarkStart w:id="3" w:name="_Hlk234580538"/>
            <w:r>
              <w:rPr>
                <w:rFonts w:hint="eastAsia" w:ascii="Times New Roman" w:hAnsi="Times New Roman" w:eastAsia="仿宋" w:cs="Times New Roman"/>
                <w:color w:val="000000"/>
                <w:sz w:val="15"/>
                <w:szCs w:val="15"/>
              </w:rPr>
              <w:t>1</w:t>
            </w:r>
          </w:p>
        </w:tc>
        <w:tc>
          <w:tcPr>
            <w:tcW w:w="1114"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sz w:val="15"/>
                <w:szCs w:val="15"/>
              </w:rPr>
            </w:pPr>
            <w:r>
              <w:rPr>
                <w:rFonts w:hint="eastAsia" w:ascii="Times New Roman" w:hAnsi="Times New Roman" w:eastAsia="仿宋" w:cs="Times New Roman"/>
                <w:sz w:val="15"/>
                <w:szCs w:val="15"/>
              </w:rPr>
              <w:t>Single-Molecule Confinement Induced Intrinsic Multi-Electron Redox-Activity to Enhance Supercapacitor Performance</w:t>
            </w:r>
          </w:p>
        </w:tc>
        <w:tc>
          <w:tcPr>
            <w:tcW w:w="850"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Energy Environmental Materials 2023, 6, e12396</w:t>
            </w:r>
          </w:p>
        </w:tc>
        <w:tc>
          <w:tcPr>
            <w:tcW w:w="851"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w:t>
            </w:r>
            <w:r>
              <w:rPr>
                <w:rFonts w:hint="eastAsia" w:ascii="Times New Roman" w:hAnsi="Times New Roman" w:eastAsia="仿宋" w:cs="Times New Roman"/>
                <w:color w:val="000000"/>
                <w:sz w:val="15"/>
                <w:szCs w:val="15"/>
              </w:rPr>
              <w:t>22</w:t>
            </w:r>
            <w:r>
              <w:rPr>
                <w:rFonts w:ascii="Times New Roman" w:hAnsi="Times New Roman" w:eastAsia="仿宋" w:cs="Times New Roman"/>
                <w:color w:val="000000"/>
                <w:sz w:val="15"/>
                <w:szCs w:val="15"/>
              </w:rPr>
              <w:t>-0</w:t>
            </w:r>
            <w:r>
              <w:rPr>
                <w:rFonts w:hint="eastAsia" w:ascii="Times New Roman" w:hAnsi="Times New Roman" w:eastAsia="仿宋" w:cs="Times New Roman"/>
                <w:color w:val="000000"/>
                <w:sz w:val="15"/>
                <w:szCs w:val="15"/>
              </w:rPr>
              <w:t>4</w:t>
            </w:r>
            <w:r>
              <w:rPr>
                <w:rFonts w:ascii="Times New Roman" w:hAnsi="Times New Roman" w:eastAsia="仿宋" w:cs="Times New Roman"/>
                <w:color w:val="000000"/>
                <w:sz w:val="15"/>
                <w:szCs w:val="15"/>
              </w:rPr>
              <w:t>-0</w:t>
            </w:r>
            <w:r>
              <w:rPr>
                <w:rFonts w:hint="eastAsia" w:ascii="Times New Roman" w:hAnsi="Times New Roman" w:eastAsia="仿宋" w:cs="Times New Roman"/>
                <w:color w:val="000000"/>
                <w:sz w:val="15"/>
                <w:szCs w:val="15"/>
              </w:rPr>
              <w:t>7</w:t>
            </w:r>
          </w:p>
        </w:tc>
        <w:tc>
          <w:tcPr>
            <w:tcW w:w="11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 xml:space="preserve">Meiling Wang, </w:t>
            </w:r>
          </w:p>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Xuguang Liu, Tian Wang, Jiadong Zhou</w:t>
            </w:r>
          </w:p>
        </w:tc>
        <w:tc>
          <w:tcPr>
            <w:tcW w:w="7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SuYang,</w:t>
            </w:r>
            <w:r>
              <w:rPr>
                <w:rFonts w:ascii="Times New Roman" w:hAnsi="Times New Roman" w:eastAsia="仿宋" w:cs="Times New Roman"/>
                <w:color w:val="000000"/>
                <w:sz w:val="15"/>
                <w:szCs w:val="15"/>
              </w:rPr>
              <w:t>Meiling Wang</w:t>
            </w:r>
          </w:p>
        </w:tc>
        <w:tc>
          <w:tcPr>
            <w:tcW w:w="1418"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Su Yang, Meiling Wang, Yong Zhang, Pinyi He, Wenhua Cong, Chongji Wang, Qiankun Yang,</w:t>
            </w:r>
          </w:p>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Xuguang Liu, Tian Wang, Xianming Zhang, Jiadong Zhou</w:t>
            </w:r>
          </w:p>
        </w:tc>
        <w:tc>
          <w:tcPr>
            <w:tcW w:w="4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15</w:t>
            </w:r>
          </w:p>
        </w:tc>
        <w:tc>
          <w:tcPr>
            <w:tcW w:w="56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Web of Science</w:t>
            </w:r>
          </w:p>
        </w:tc>
        <w:tc>
          <w:tcPr>
            <w:tcW w:w="7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436"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2</w:t>
            </w:r>
          </w:p>
        </w:tc>
        <w:tc>
          <w:tcPr>
            <w:tcW w:w="1114"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Confinement of single polyoxometalate clusters in molecular-scale cages for improved flexible solid-state supercapacitors</w:t>
            </w:r>
          </w:p>
        </w:tc>
        <w:tc>
          <w:tcPr>
            <w:tcW w:w="850"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Nanoscale</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2020, 12: 11887-11898</w:t>
            </w:r>
          </w:p>
        </w:tc>
        <w:tc>
          <w:tcPr>
            <w:tcW w:w="851"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2020-0</w:t>
            </w:r>
            <w:r>
              <w:rPr>
                <w:rFonts w:hint="eastAsia" w:ascii="Times New Roman" w:hAnsi="Times New Roman" w:eastAsia="仿宋" w:cs="Times New Roman"/>
                <w:color w:val="000000"/>
                <w:sz w:val="15"/>
                <w:szCs w:val="15"/>
              </w:rPr>
              <w:t>6</w:t>
            </w:r>
            <w:r>
              <w:rPr>
                <w:rFonts w:ascii="Times New Roman" w:hAnsi="Times New Roman" w:eastAsia="仿宋" w:cs="Times New Roman"/>
                <w:color w:val="000000"/>
                <w:sz w:val="15"/>
                <w:szCs w:val="15"/>
              </w:rPr>
              <w:t>-</w:t>
            </w:r>
            <w:r>
              <w:rPr>
                <w:rFonts w:hint="eastAsia" w:ascii="Times New Roman" w:hAnsi="Times New Roman" w:eastAsia="仿宋" w:cs="Times New Roman"/>
                <w:color w:val="000000"/>
                <w:sz w:val="15"/>
                <w:szCs w:val="15"/>
              </w:rPr>
              <w:t>14</w:t>
            </w:r>
          </w:p>
        </w:tc>
        <w:tc>
          <w:tcPr>
            <w:tcW w:w="11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Xuguang Liu, Tian Wang, Yizhong Huang</w:t>
            </w:r>
          </w:p>
        </w:tc>
        <w:tc>
          <w:tcPr>
            <w:tcW w:w="7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Meiling Wang, Yong Zhang</w:t>
            </w:r>
          </w:p>
        </w:tc>
        <w:tc>
          <w:tcPr>
            <w:tcW w:w="1418"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Meiling Wang, Yong Zhang, Tianyuan Zhang, Yue Li, Mingzhu Cui, Xun Cao, Yu Lu, Dongdong Peng, Weifeng Liu, Xuguang Liu, Tian Wang, Yizhong Huang</w:t>
            </w:r>
          </w:p>
        </w:tc>
        <w:tc>
          <w:tcPr>
            <w:tcW w:w="4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30</w:t>
            </w:r>
          </w:p>
        </w:tc>
        <w:tc>
          <w:tcPr>
            <w:tcW w:w="56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Web of Science</w:t>
            </w:r>
          </w:p>
        </w:tc>
        <w:tc>
          <w:tcPr>
            <w:tcW w:w="7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36"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3</w:t>
            </w:r>
          </w:p>
        </w:tc>
        <w:tc>
          <w:tcPr>
            <w:tcW w:w="1114"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Development of polyoxometalate-anchored 3D hybrid hydrogel for high-performance flexible pseudo-solid-state supercapacitor</w:t>
            </w:r>
          </w:p>
        </w:tc>
        <w:tc>
          <w:tcPr>
            <w:tcW w:w="850"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Electrochimica Acta</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2020, 329, 135181</w:t>
            </w:r>
          </w:p>
        </w:tc>
        <w:tc>
          <w:tcPr>
            <w:tcW w:w="851"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w:t>
            </w:r>
            <w:r>
              <w:rPr>
                <w:rFonts w:hint="eastAsia" w:ascii="Times New Roman" w:hAnsi="Times New Roman" w:eastAsia="仿宋" w:cs="Times New Roman"/>
                <w:color w:val="000000"/>
                <w:sz w:val="15"/>
                <w:szCs w:val="15"/>
              </w:rPr>
              <w:t>20</w:t>
            </w:r>
            <w:r>
              <w:rPr>
                <w:rFonts w:ascii="Times New Roman" w:hAnsi="Times New Roman" w:eastAsia="仿宋" w:cs="Times New Roman"/>
                <w:color w:val="000000"/>
                <w:sz w:val="15"/>
                <w:szCs w:val="15"/>
              </w:rPr>
              <w:t>-</w:t>
            </w:r>
            <w:r>
              <w:rPr>
                <w:rFonts w:hint="eastAsia" w:ascii="Times New Roman" w:hAnsi="Times New Roman" w:eastAsia="仿宋" w:cs="Times New Roman"/>
                <w:color w:val="000000"/>
                <w:sz w:val="15"/>
                <w:szCs w:val="15"/>
              </w:rPr>
              <w:t>01</w:t>
            </w:r>
            <w:r>
              <w:rPr>
                <w:rFonts w:ascii="Times New Roman" w:hAnsi="Times New Roman" w:eastAsia="仿宋" w:cs="Times New Roman"/>
                <w:color w:val="000000"/>
                <w:sz w:val="15"/>
                <w:szCs w:val="15"/>
              </w:rPr>
              <w:t>-0</w:t>
            </w:r>
            <w:r>
              <w:rPr>
                <w:rFonts w:hint="eastAsia" w:ascii="Times New Roman" w:hAnsi="Times New Roman" w:eastAsia="仿宋" w:cs="Times New Roman"/>
                <w:color w:val="000000"/>
                <w:sz w:val="15"/>
                <w:szCs w:val="15"/>
              </w:rPr>
              <w:t>1</w:t>
            </w:r>
          </w:p>
        </w:tc>
        <w:tc>
          <w:tcPr>
            <w:tcW w:w="11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Xuguang Liu,</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Tianyuan </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Zhang,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Yizhong Huang</w:t>
            </w:r>
          </w:p>
        </w:tc>
        <w:tc>
          <w:tcPr>
            <w:tcW w:w="7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Meiling Wang,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t>Yifan Yu</w:t>
            </w:r>
          </w:p>
        </w:tc>
        <w:tc>
          <w:tcPr>
            <w:tcW w:w="1418"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Meiling Wang,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t>Yifan Yu,</w:t>
            </w:r>
            <w:r>
              <w:rPr>
                <w:rFonts w:ascii="Times New Roman" w:hAnsi="Times New Roman" w:eastAsia="仿宋" w:cs="Times New Roman"/>
                <w:color w:val="555555"/>
                <w:szCs w:val="21"/>
                <w:shd w:val="clear" w:color="auto" w:fill="FFFFFF"/>
              </w:rPr>
              <w:t xml:space="preserve"> </w:t>
            </w:r>
            <w:r>
              <w:rPr>
                <w:rFonts w:ascii="Times New Roman" w:hAnsi="Times New Roman" w:eastAsia="仿宋" w:cs="Times New Roman"/>
                <w:color w:val="000000"/>
                <w:sz w:val="15"/>
                <w:szCs w:val="15"/>
              </w:rPr>
              <w:t>Mingzhu Cui, Xun Cao, Weifeng Liu, Cao Wu, Xuguang Liu, Tianyuan Zhang, Yizhong Huang</w:t>
            </w:r>
          </w:p>
        </w:tc>
        <w:tc>
          <w:tcPr>
            <w:tcW w:w="4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41</w:t>
            </w:r>
          </w:p>
        </w:tc>
        <w:tc>
          <w:tcPr>
            <w:tcW w:w="56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Web of Science</w:t>
            </w:r>
          </w:p>
        </w:tc>
        <w:tc>
          <w:tcPr>
            <w:tcW w:w="7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36"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4</w:t>
            </w:r>
          </w:p>
        </w:tc>
        <w:tc>
          <w:tcPr>
            <w:tcW w:w="1114"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sz w:val="15"/>
                <w:szCs w:val="15"/>
              </w:rPr>
              <w:t>Confining tiny MoO</w:t>
            </w:r>
            <w:r>
              <w:rPr>
                <w:rFonts w:ascii="Times New Roman" w:hAnsi="Times New Roman" w:eastAsia="仿宋" w:cs="Times New Roman"/>
                <w:sz w:val="15"/>
                <w:szCs w:val="15"/>
                <w:vertAlign w:val="subscript"/>
              </w:rPr>
              <w:t>2</w:t>
            </w:r>
            <w:r>
              <w:rPr>
                <w:rFonts w:hint="eastAsia" w:ascii="Times New Roman" w:hAnsi="Times New Roman" w:eastAsia="仿宋" w:cs="Times New Roman"/>
                <w:sz w:val="15"/>
                <w:szCs w:val="15"/>
              </w:rPr>
              <w:t xml:space="preserve"> </w:t>
            </w:r>
            <w:r>
              <w:rPr>
                <w:rFonts w:ascii="Times New Roman" w:hAnsi="Times New Roman" w:eastAsia="仿宋" w:cs="Times New Roman"/>
                <w:sz w:val="15"/>
                <w:szCs w:val="15"/>
              </w:rPr>
              <w:t>clusters into reduced graphene oxide for highly efficient low frequency microwave absorption</w:t>
            </w:r>
          </w:p>
        </w:tc>
        <w:tc>
          <w:tcPr>
            <w:tcW w:w="850"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Small</w:t>
            </w:r>
          </w:p>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2020, 16, 2001686</w:t>
            </w:r>
          </w:p>
        </w:tc>
        <w:tc>
          <w:tcPr>
            <w:tcW w:w="851"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2020-0</w:t>
            </w:r>
            <w:r>
              <w:rPr>
                <w:rFonts w:hint="eastAsia" w:ascii="Times New Roman" w:hAnsi="Times New Roman" w:eastAsia="仿宋" w:cs="Times New Roman"/>
                <w:color w:val="000000"/>
                <w:sz w:val="15"/>
                <w:szCs w:val="15"/>
              </w:rPr>
              <w:t>7</w:t>
            </w:r>
            <w:r>
              <w:rPr>
                <w:rFonts w:ascii="Times New Roman" w:hAnsi="Times New Roman" w:eastAsia="仿宋" w:cs="Times New Roman"/>
                <w:color w:val="000000"/>
                <w:sz w:val="15"/>
                <w:szCs w:val="15"/>
              </w:rPr>
              <w:t>-</w:t>
            </w:r>
            <w:r>
              <w:rPr>
                <w:rFonts w:hint="eastAsia" w:ascii="Times New Roman" w:hAnsi="Times New Roman" w:eastAsia="仿宋" w:cs="Times New Roman"/>
                <w:color w:val="000000"/>
                <w:sz w:val="15"/>
                <w:szCs w:val="15"/>
              </w:rPr>
              <w:t>28</w:t>
            </w:r>
          </w:p>
        </w:tc>
        <w:tc>
          <w:tcPr>
            <w:tcW w:w="11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fldChar w:fldCharType="begin"/>
            </w:r>
            <w:r>
              <w:instrText xml:space="preserve"> HYPERLINK "https://onlinelibrary.wiley.com/authored-by/Chen/Zhaofeng" </w:instrText>
            </w:r>
            <w:r>
              <w:fldChar w:fldCharType="separate"/>
            </w:r>
            <w:r>
              <w:rPr>
                <w:rFonts w:ascii="Times New Roman" w:hAnsi="Times New Roman" w:eastAsia="仿宋" w:cs="Times New Roman"/>
                <w:color w:val="000000"/>
                <w:sz w:val="15"/>
                <w:szCs w:val="15"/>
              </w:rPr>
              <w:t>Zhaofeng Chen</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"https://onlinelibrary.wiley.com/authored-by/Wang/Meiling" </w:instrText>
            </w:r>
            <w:r>
              <w:fldChar w:fldCharType="separate"/>
            </w:r>
            <w:r>
              <w:rPr>
                <w:rFonts w:ascii="Times New Roman" w:hAnsi="Times New Roman" w:eastAsia="仿宋" w:cs="Times New Roman"/>
                <w:color w:val="000000"/>
                <w:sz w:val="15"/>
                <w:szCs w:val="15"/>
              </w:rPr>
              <w:t>Meiling Wang</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"https://onlinelibrary.wiley.com/authored-by/Zhou/Jiadong" </w:instrText>
            </w:r>
            <w:r>
              <w:fldChar w:fldCharType="separate"/>
            </w:r>
            <w:r>
              <w:rPr>
                <w:rFonts w:ascii="Times New Roman" w:hAnsi="Times New Roman" w:eastAsia="仿宋" w:cs="Times New Roman"/>
                <w:color w:val="000000"/>
                <w:sz w:val="15"/>
                <w:szCs w:val="15"/>
              </w:rPr>
              <w:t>Jiadong Zhou</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"https://onlinelibrary.wiley.com/authored-by/Huang/Yizhong" </w:instrText>
            </w:r>
            <w:r>
              <w:fldChar w:fldCharType="separate"/>
            </w:r>
            <w:r>
              <w:rPr>
                <w:rFonts w:ascii="Times New Roman" w:hAnsi="Times New Roman" w:eastAsia="仿宋" w:cs="Times New Roman"/>
                <w:color w:val="000000"/>
                <w:sz w:val="15"/>
                <w:szCs w:val="15"/>
              </w:rPr>
              <w:t>Yizhong Huang</w:t>
            </w:r>
            <w:r>
              <w:rPr>
                <w:rFonts w:ascii="Times New Roman" w:hAnsi="Times New Roman" w:eastAsia="仿宋" w:cs="Times New Roman"/>
                <w:color w:val="000000"/>
                <w:sz w:val="15"/>
                <w:szCs w:val="15"/>
              </w:rPr>
              <w:fldChar w:fldCharType="end"/>
            </w:r>
          </w:p>
        </w:tc>
        <w:tc>
          <w:tcPr>
            <w:tcW w:w="7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fldChar w:fldCharType="begin"/>
            </w:r>
            <w:r>
              <w:instrText xml:space="preserve"> HYPERLINK "https://onlinelibrary.wiley.com/authored-by/Wu/Cao" </w:instrText>
            </w:r>
            <w:r>
              <w:fldChar w:fldCharType="separate"/>
            </w:r>
            <w:r>
              <w:rPr>
                <w:rFonts w:ascii="Times New Roman" w:hAnsi="Times New Roman" w:eastAsia="仿宋" w:cs="Times New Roman"/>
                <w:color w:val="000000"/>
                <w:sz w:val="15"/>
                <w:szCs w:val="15"/>
              </w:rPr>
              <w:t>Cao Wu</w:t>
            </w:r>
            <w:r>
              <w:rPr>
                <w:rFonts w:ascii="Times New Roman" w:hAnsi="Times New Roman" w:eastAsia="仿宋" w:cs="Times New Roman"/>
                <w:color w:val="000000"/>
                <w:sz w:val="15"/>
                <w:szCs w:val="15"/>
              </w:rPr>
              <w:fldChar w:fldCharType="end"/>
            </w:r>
          </w:p>
        </w:tc>
        <w:tc>
          <w:tcPr>
            <w:tcW w:w="1418"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fldChar w:fldCharType="begin"/>
            </w:r>
            <w:r>
              <w:instrText xml:space="preserve"> HYPERLINK "https://onlinelibrary.wiley.com/authored-by/Wu/Cao" </w:instrText>
            </w:r>
            <w:r>
              <w:fldChar w:fldCharType="separate"/>
            </w:r>
            <w:r>
              <w:rPr>
                <w:rFonts w:ascii="Times New Roman" w:hAnsi="Times New Roman" w:eastAsia="仿宋" w:cs="Times New Roman"/>
                <w:color w:val="000000"/>
                <w:sz w:val="15"/>
                <w:szCs w:val="15"/>
              </w:rPr>
              <w:t>Cao Wu</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"https://onlinelibrary.wiley.com/authored-by/Chen/Zhaofeng" </w:instrText>
            </w:r>
            <w:r>
              <w:fldChar w:fldCharType="separate"/>
            </w:r>
            <w:r>
              <w:rPr>
                <w:rFonts w:ascii="Times New Roman" w:hAnsi="Times New Roman" w:eastAsia="仿宋" w:cs="Times New Roman"/>
                <w:color w:val="000000"/>
                <w:sz w:val="15"/>
                <w:szCs w:val="15"/>
              </w:rPr>
              <w:t>Zhaofeng Chen</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"https://onlinelibrary.wiley.com/authored-by/Wang/Meiling" </w:instrText>
            </w:r>
            <w:r>
              <w:fldChar w:fldCharType="separate"/>
            </w:r>
            <w:r>
              <w:rPr>
                <w:rFonts w:ascii="Times New Roman" w:hAnsi="Times New Roman" w:eastAsia="仿宋" w:cs="Times New Roman"/>
                <w:color w:val="000000"/>
                <w:sz w:val="15"/>
                <w:szCs w:val="15"/>
              </w:rPr>
              <w:t>Meiling Wang</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"https://onlinelibrary.wiley.com/authored-by/Cao/Xun" </w:instrText>
            </w:r>
            <w:r>
              <w:fldChar w:fldCharType="separate"/>
            </w:r>
            <w:r>
              <w:rPr>
                <w:rFonts w:ascii="Times New Roman" w:hAnsi="Times New Roman" w:eastAsia="仿宋" w:cs="Times New Roman"/>
                <w:color w:val="000000"/>
                <w:sz w:val="15"/>
                <w:szCs w:val="15"/>
              </w:rPr>
              <w:t>Xun Cao</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"https://onlinelibrary.wiley.com/authored-by/Zhang/Yong" </w:instrText>
            </w:r>
            <w:r>
              <w:fldChar w:fldCharType="separate"/>
            </w:r>
            <w:r>
              <w:rPr>
                <w:rFonts w:ascii="Times New Roman" w:hAnsi="Times New Roman" w:eastAsia="仿宋" w:cs="Times New Roman"/>
                <w:color w:val="000000"/>
                <w:sz w:val="15"/>
                <w:szCs w:val="15"/>
              </w:rPr>
              <w:t>Yong Zhang</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w:t>
            </w:r>
            <w:r>
              <w:fldChar w:fldCharType="begin"/>
            </w:r>
            <w:r>
              <w:instrText xml:space="preserve"> HYPERLINK "https://onlinelibrary.wiley.com/authored-by/Song/Pin" </w:instrText>
            </w:r>
            <w:r>
              <w:fldChar w:fldCharType="separate"/>
            </w:r>
            <w:r>
              <w:rPr>
                <w:rFonts w:ascii="Times New Roman" w:hAnsi="Times New Roman" w:eastAsia="仿宋" w:cs="Times New Roman"/>
                <w:color w:val="000000"/>
                <w:sz w:val="15"/>
                <w:szCs w:val="15"/>
              </w:rPr>
              <w:t>Pin Song</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w:t>
            </w:r>
            <w:r>
              <w:fldChar w:fldCharType="begin"/>
            </w:r>
            <w:r>
              <w:instrText xml:space="preserve"> HYPERLINK "https://onlinelibrary.wiley.com/authored-by/Zhang/Tianyuan" </w:instrText>
            </w:r>
            <w:r>
              <w:fldChar w:fldCharType="separate"/>
            </w:r>
            <w:r>
              <w:rPr>
                <w:rFonts w:ascii="Times New Roman" w:hAnsi="Times New Roman" w:eastAsia="仿宋" w:cs="Times New Roman"/>
                <w:color w:val="000000"/>
                <w:sz w:val="15"/>
                <w:szCs w:val="15"/>
              </w:rPr>
              <w:t>Tianyuan Zhang</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w:t>
            </w:r>
            <w:r>
              <w:fldChar w:fldCharType="begin"/>
            </w:r>
            <w:r>
              <w:instrText xml:space="preserve"> HYPERLINK "https://onlinelibrary.wiley.com/authored-by/Ye/Xinli" </w:instrText>
            </w:r>
            <w:r>
              <w:fldChar w:fldCharType="separate"/>
            </w:r>
            <w:r>
              <w:rPr>
                <w:rFonts w:ascii="Times New Roman" w:hAnsi="Times New Roman" w:eastAsia="仿宋" w:cs="Times New Roman"/>
                <w:color w:val="000000"/>
                <w:sz w:val="15"/>
                <w:szCs w:val="15"/>
              </w:rPr>
              <w:t>Xinli Ye</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w:t>
            </w:r>
            <w:r>
              <w:fldChar w:fldCharType="begin"/>
            </w:r>
            <w:r>
              <w:instrText xml:space="preserve"> HYPERLINK "https://onlinelibrary.wiley.com/authored-by/Yang/Yong" </w:instrText>
            </w:r>
            <w:r>
              <w:fldChar w:fldCharType="separate"/>
            </w:r>
            <w:r>
              <w:rPr>
                <w:rFonts w:ascii="Times New Roman" w:hAnsi="Times New Roman" w:eastAsia="仿宋" w:cs="Times New Roman"/>
                <w:color w:val="000000"/>
                <w:sz w:val="15"/>
                <w:szCs w:val="15"/>
              </w:rPr>
              <w:t>Yong Yang</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w:t>
            </w:r>
            <w:r>
              <w:fldChar w:fldCharType="begin"/>
            </w:r>
            <w:r>
              <w:instrText xml:space="preserve"> HYPERLINK "https://onlinelibrary.wiley.com/authored-by/Gu/Weihua" </w:instrText>
            </w:r>
            <w:r>
              <w:fldChar w:fldCharType="separate"/>
            </w:r>
            <w:r>
              <w:rPr>
                <w:rFonts w:ascii="Times New Roman" w:hAnsi="Times New Roman" w:eastAsia="仿宋" w:cs="Times New Roman"/>
                <w:color w:val="000000"/>
                <w:sz w:val="15"/>
                <w:szCs w:val="15"/>
              </w:rPr>
              <w:t>Weihua Gu</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w:t>
            </w:r>
            <w:r>
              <w:fldChar w:fldCharType="begin"/>
            </w:r>
            <w:r>
              <w:instrText xml:space="preserve"> HYPERLINK "https://onlinelibrary.wiley.com/authored-by/Zhou/Jiadong" </w:instrText>
            </w:r>
            <w:r>
              <w:fldChar w:fldCharType="separate"/>
            </w:r>
            <w:r>
              <w:rPr>
                <w:rFonts w:ascii="Times New Roman" w:hAnsi="Times New Roman" w:eastAsia="仿宋" w:cs="Times New Roman"/>
                <w:color w:val="000000"/>
                <w:sz w:val="15"/>
                <w:szCs w:val="15"/>
              </w:rPr>
              <w:t>Jiadong Zhou</w:t>
            </w:r>
            <w:r>
              <w:rPr>
                <w:rFonts w:ascii="Times New Roman" w:hAnsi="Times New Roman" w:eastAsia="仿宋" w:cs="Times New Roman"/>
                <w:color w:val="000000"/>
                <w:sz w:val="15"/>
                <w:szCs w:val="15"/>
              </w:rPr>
              <w:fldChar w:fldCharType="end"/>
            </w:r>
            <w:r>
              <w:rPr>
                <w:rFonts w:ascii="Times New Roman" w:hAnsi="Times New Roman" w:eastAsia="仿宋" w:cs="Times New Roman"/>
                <w:color w:val="000000"/>
                <w:sz w:val="15"/>
                <w:szCs w:val="15"/>
              </w:rPr>
              <w:t xml:space="preserve">, </w:t>
            </w:r>
            <w:r>
              <w:fldChar w:fldCharType="begin"/>
            </w:r>
            <w:r>
              <w:instrText xml:space="preserve"> HYPERLINK "https://onlinelibrary.wiley.com/authored-by/Huang/Yizhong" </w:instrText>
            </w:r>
            <w:r>
              <w:fldChar w:fldCharType="separate"/>
            </w:r>
            <w:r>
              <w:rPr>
                <w:rFonts w:ascii="Times New Roman" w:hAnsi="Times New Roman" w:eastAsia="仿宋" w:cs="Times New Roman"/>
                <w:color w:val="000000"/>
                <w:sz w:val="15"/>
                <w:szCs w:val="15"/>
              </w:rPr>
              <w:t>Yizhong Huang</w:t>
            </w:r>
            <w:r>
              <w:rPr>
                <w:rFonts w:ascii="Times New Roman" w:hAnsi="Times New Roman" w:eastAsia="仿宋" w:cs="Times New Roman"/>
                <w:color w:val="000000"/>
                <w:sz w:val="15"/>
                <w:szCs w:val="15"/>
              </w:rPr>
              <w:fldChar w:fldCharType="end"/>
            </w:r>
          </w:p>
        </w:tc>
        <w:tc>
          <w:tcPr>
            <w:tcW w:w="4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202</w:t>
            </w:r>
          </w:p>
        </w:tc>
        <w:tc>
          <w:tcPr>
            <w:tcW w:w="56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Web of Science</w:t>
            </w:r>
          </w:p>
        </w:tc>
        <w:tc>
          <w:tcPr>
            <w:tcW w:w="7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36"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5</w:t>
            </w:r>
          </w:p>
        </w:tc>
        <w:tc>
          <w:tcPr>
            <w:tcW w:w="1114"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sz w:val="15"/>
                <w:szCs w:val="15"/>
              </w:rPr>
            </w:pPr>
            <w:r>
              <w:fldChar w:fldCharType="begin"/>
            </w:r>
            <w:r>
              <w:instrText xml:space="preserve"> HYPERLINK "https://www.x-mol.com/paperRedirect/1536210399211859968" \t "_blank" </w:instrText>
            </w:r>
            <w:r>
              <w:fldChar w:fldCharType="separate"/>
            </w:r>
            <w:r>
              <w:rPr>
                <w:rFonts w:ascii="Times New Roman" w:hAnsi="Times New Roman" w:eastAsia="仿宋" w:cs="Times New Roman"/>
                <w:color w:val="000000"/>
                <w:sz w:val="15"/>
                <w:szCs w:val="15"/>
              </w:rPr>
              <w:t>Supramolecular confinement pyrolysis to carbon-supported Mo nanostructures spanning four scales for hydroquinone determination</w:t>
            </w:r>
            <w:r>
              <w:rPr>
                <w:rFonts w:ascii="Times New Roman" w:hAnsi="Times New Roman" w:eastAsia="仿宋" w:cs="Times New Roman"/>
                <w:color w:val="000000"/>
                <w:sz w:val="15"/>
                <w:szCs w:val="15"/>
              </w:rPr>
              <w:fldChar w:fldCharType="end"/>
            </w:r>
          </w:p>
        </w:tc>
        <w:tc>
          <w:tcPr>
            <w:tcW w:w="850"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Journal of Hazardous Materials 2022, 437, 129327</w:t>
            </w:r>
          </w:p>
        </w:tc>
        <w:tc>
          <w:tcPr>
            <w:tcW w:w="851"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color w:val="000000"/>
                <w:sz w:val="15"/>
                <w:szCs w:val="15"/>
              </w:rPr>
              <w:t>2022-</w:t>
            </w:r>
            <w:r>
              <w:rPr>
                <w:rFonts w:hint="eastAsia" w:ascii="Times New Roman" w:hAnsi="Times New Roman" w:eastAsia="仿宋" w:cs="Times New Roman"/>
                <w:color w:val="000000"/>
                <w:sz w:val="15"/>
                <w:szCs w:val="15"/>
              </w:rPr>
              <w:t>09</w:t>
            </w:r>
            <w:r>
              <w:rPr>
                <w:rFonts w:ascii="Times New Roman" w:hAnsi="Times New Roman" w:eastAsia="仿宋" w:cs="Times New Roman"/>
                <w:color w:val="000000"/>
                <w:sz w:val="15"/>
                <w:szCs w:val="15"/>
              </w:rPr>
              <w:t>-0</w:t>
            </w:r>
            <w:r>
              <w:rPr>
                <w:rFonts w:hint="eastAsia" w:ascii="Times New Roman" w:hAnsi="Times New Roman" w:eastAsia="仿宋" w:cs="Times New Roman"/>
                <w:color w:val="000000"/>
                <w:sz w:val="15"/>
                <w:szCs w:val="15"/>
              </w:rPr>
              <w:t>5</w:t>
            </w:r>
          </w:p>
        </w:tc>
        <w:tc>
          <w:tcPr>
            <w:tcW w:w="1117" w:type="dxa"/>
            <w:tcMar>
              <w:top w:w="0" w:type="dxa"/>
              <w:left w:w="57" w:type="dxa"/>
              <w:bottom w:w="0" w:type="dxa"/>
              <w:right w:w="57" w:type="dxa"/>
            </w:tcMar>
            <w:vAlign w:val="center"/>
          </w:tcPr>
          <w:p>
            <w:pPr>
              <w:adjustRightInd w:val="0"/>
              <w:snapToGrid w:val="0"/>
              <w:jc w:val="center"/>
              <w:textAlignment w:val="center"/>
              <w:outlineLvl w:val="1"/>
              <w:rPr>
                <w:rFonts w:hint="eastAsia"/>
              </w:rPr>
            </w:pPr>
            <w:r>
              <w:rPr>
                <w:rFonts w:ascii="Times New Roman" w:hAnsi="Times New Roman" w:eastAsia="仿宋" w:cs="Times New Roman"/>
                <w:color w:val="000000"/>
                <w:sz w:val="15"/>
                <w:szCs w:val="15"/>
              </w:rPr>
              <w:t>Meiling Wang,</w:t>
            </w:r>
            <w:r>
              <w:rPr>
                <w:rFonts w:ascii="Times New Roman" w:hAnsi="Times New Roman" w:eastAsia="仿宋" w:cs="Times New Roman"/>
                <w:sz w:val="24"/>
                <w:szCs w:val="24"/>
              </w:rPr>
              <w:t xml:space="preserve"> </w:t>
            </w:r>
            <w:r>
              <w:rPr>
                <w:rFonts w:ascii="Times New Roman" w:hAnsi="Times New Roman" w:eastAsia="仿宋" w:cs="Times New Roman"/>
                <w:color w:val="000000"/>
                <w:sz w:val="15"/>
                <w:szCs w:val="15"/>
              </w:rPr>
              <w:t>Xuguang Liu</w:t>
            </w:r>
          </w:p>
        </w:tc>
        <w:tc>
          <w:tcPr>
            <w:tcW w:w="725" w:type="dxa"/>
            <w:tcMar>
              <w:top w:w="0" w:type="dxa"/>
              <w:left w:w="57" w:type="dxa"/>
              <w:bottom w:w="0" w:type="dxa"/>
              <w:right w:w="57" w:type="dxa"/>
            </w:tcMar>
            <w:vAlign w:val="center"/>
          </w:tcPr>
          <w:p>
            <w:pPr>
              <w:adjustRightInd w:val="0"/>
              <w:snapToGrid w:val="0"/>
              <w:jc w:val="center"/>
              <w:textAlignment w:val="center"/>
              <w:outlineLvl w:val="1"/>
              <w:rPr>
                <w:rFonts w:hint="eastAsia"/>
              </w:rPr>
            </w:pPr>
            <w:r>
              <w:rPr>
                <w:rFonts w:ascii="Times New Roman" w:hAnsi="Times New Roman" w:eastAsia="仿宋" w:cs="Times New Roman"/>
                <w:color w:val="000000"/>
                <w:sz w:val="15"/>
                <w:szCs w:val="15"/>
              </w:rPr>
              <w:t xml:space="preserve">Wenhua Cong,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 xml:space="preserve">Pin Song </w:t>
            </w:r>
          </w:p>
        </w:tc>
        <w:tc>
          <w:tcPr>
            <w:tcW w:w="1418" w:type="dxa"/>
            <w:tcMar>
              <w:top w:w="0" w:type="dxa"/>
              <w:left w:w="57" w:type="dxa"/>
              <w:bottom w:w="0" w:type="dxa"/>
              <w:right w:w="57" w:type="dxa"/>
            </w:tcMar>
            <w:vAlign w:val="center"/>
          </w:tcPr>
          <w:p>
            <w:pPr>
              <w:adjustRightInd w:val="0"/>
              <w:snapToGrid w:val="0"/>
              <w:jc w:val="center"/>
              <w:textAlignment w:val="center"/>
              <w:outlineLvl w:val="1"/>
              <w:rPr>
                <w:rFonts w:hint="eastAsia"/>
              </w:rPr>
            </w:pPr>
            <w:r>
              <w:rPr>
                <w:rFonts w:ascii="Times New Roman" w:hAnsi="Times New Roman" w:eastAsia="仿宋" w:cs="Times New Roman"/>
                <w:color w:val="000000"/>
                <w:sz w:val="15"/>
                <w:szCs w:val="15"/>
              </w:rPr>
              <w:t xml:space="preserve">Wenhua Cong,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Pin Song,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t>Yong Zhang,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Su Yang,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Weifeng Liu,</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Tianyuan Zhang,</w:t>
            </w:r>
            <w:r>
              <w:rPr>
                <w:rFonts w:ascii="Times New Roman" w:hAnsi="Times New Roman" w:eastAsia="仿宋" w:cs="Times New Roman"/>
                <w:color w:val="1F1F1F"/>
                <w:szCs w:val="24"/>
              </w:rPr>
              <w:t xml:space="preserve"> </w:t>
            </w:r>
            <w:r>
              <w:rPr>
                <w:rFonts w:ascii="Times New Roman" w:hAnsi="Times New Roman" w:eastAsia="仿宋" w:cs="Times New Roman"/>
                <w:color w:val="000000"/>
                <w:sz w:val="15"/>
                <w:szCs w:val="15"/>
              </w:rPr>
              <w:br w:type="textWrapping"/>
            </w:r>
            <w:r>
              <w:rPr>
                <w:rFonts w:ascii="Times New Roman" w:hAnsi="Times New Roman" w:eastAsia="仿宋" w:cs="Times New Roman"/>
                <w:color w:val="000000"/>
                <w:sz w:val="15"/>
                <w:szCs w:val="15"/>
              </w:rPr>
              <w:t>Jiadong Zhou, Meiling Wang,</w:t>
            </w:r>
            <w:r>
              <w:rPr>
                <w:rFonts w:ascii="Times New Roman" w:hAnsi="Times New Roman" w:eastAsia="仿宋" w:cs="Times New Roman"/>
                <w:sz w:val="24"/>
                <w:szCs w:val="24"/>
              </w:rPr>
              <w:t xml:space="preserve"> </w:t>
            </w:r>
            <w:r>
              <w:rPr>
                <w:rFonts w:ascii="Times New Roman" w:hAnsi="Times New Roman" w:eastAsia="仿宋" w:cs="Times New Roman"/>
                <w:color w:val="000000"/>
                <w:sz w:val="15"/>
                <w:szCs w:val="15"/>
              </w:rPr>
              <w:t>Xuguang Liu</w:t>
            </w:r>
          </w:p>
        </w:tc>
        <w:tc>
          <w:tcPr>
            <w:tcW w:w="425"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14</w:t>
            </w:r>
          </w:p>
        </w:tc>
        <w:tc>
          <w:tcPr>
            <w:tcW w:w="56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hint="eastAsia" w:ascii="Times New Roman" w:hAnsi="Times New Roman" w:eastAsia="仿宋" w:cs="Times New Roman"/>
                <w:color w:val="000000"/>
                <w:sz w:val="15"/>
                <w:szCs w:val="15"/>
              </w:rPr>
              <w:t>Web of Science</w:t>
            </w:r>
          </w:p>
        </w:tc>
        <w:tc>
          <w:tcPr>
            <w:tcW w:w="717" w:type="dxa"/>
            <w:tcMar>
              <w:top w:w="0" w:type="dxa"/>
              <w:left w:w="57" w:type="dxa"/>
              <w:bottom w:w="0" w:type="dxa"/>
              <w:right w:w="57" w:type="dxa"/>
            </w:tcMar>
            <w:vAlign w:val="center"/>
          </w:tcPr>
          <w:p>
            <w:pPr>
              <w:adjustRightInd w:val="0"/>
              <w:snapToGrid w:val="0"/>
              <w:jc w:val="center"/>
              <w:textAlignment w:val="center"/>
              <w:outlineLvl w:val="1"/>
              <w:rPr>
                <w:rFonts w:ascii="Times New Roman" w:hAnsi="Times New Roman" w:eastAsia="仿宋" w:cs="Times New Roman"/>
                <w:color w:val="000000"/>
                <w:sz w:val="15"/>
                <w:szCs w:val="15"/>
              </w:rPr>
            </w:pPr>
            <w:r>
              <w:rPr>
                <w:rFonts w:ascii="Times New Roman" w:hAnsi="Times New Roman" w:eastAsia="仿宋" w:cs="Times New Roman"/>
                <w:sz w:val="15"/>
                <w:szCs w:val="15"/>
              </w:rPr>
              <w:t>是</w:t>
            </w:r>
          </w:p>
        </w:tc>
      </w:tr>
      <w:bookmarkEnd w:id="2"/>
      <w:bookmarkEnd w:id="3"/>
    </w:tbl>
    <w:p>
      <w:pPr>
        <w:spacing w:line="360" w:lineRule="auto"/>
        <w:rPr>
          <w:rFonts w:ascii="Times New Roman" w:hAnsi="Times New Roman" w:eastAsia="仿宋" w:cs="Times New Roman"/>
          <w:b/>
          <w:kern w:val="0"/>
          <w:sz w:val="28"/>
          <w:szCs w:val="28"/>
        </w:rPr>
      </w:pPr>
    </w:p>
    <w:p>
      <w:pPr>
        <w:spacing w:line="360" w:lineRule="auto"/>
        <w:rPr>
          <w:rFonts w:ascii="Times New Roman" w:hAnsi="Times New Roman" w:eastAsia="仿宋" w:cs="Times New Roman"/>
          <w:b/>
          <w:kern w:val="0"/>
          <w:sz w:val="28"/>
          <w:szCs w:val="28"/>
        </w:rPr>
      </w:pPr>
    </w:p>
    <w:p>
      <w:pPr>
        <w:spacing w:line="360" w:lineRule="auto"/>
        <w:rPr>
          <w:rFonts w:ascii="Times New Roman" w:hAnsi="Times New Roman" w:eastAsia="仿宋" w:cs="Times New Roman"/>
          <w:b/>
          <w:kern w:val="0"/>
          <w:sz w:val="28"/>
          <w:szCs w:val="28"/>
        </w:rPr>
      </w:pPr>
    </w:p>
    <w:p>
      <w:pPr>
        <w:spacing w:line="360" w:lineRule="auto"/>
        <w:rPr>
          <w:rFonts w:ascii="Times New Roman" w:hAnsi="Times New Roman" w:eastAsia="仿宋" w:cs="Times New Roman"/>
          <w:b/>
          <w:kern w:val="0"/>
          <w:sz w:val="28"/>
          <w:szCs w:val="28"/>
        </w:rPr>
      </w:pPr>
    </w:p>
    <w:p>
      <w:pPr>
        <w:spacing w:line="360" w:lineRule="auto"/>
        <w:rPr>
          <w:rFonts w:hint="eastAsia" w:ascii="Times New Roman" w:hAnsi="Times New Roman" w:eastAsia="仿宋" w:cs="Times New Roman"/>
          <w:b/>
          <w:kern w:val="0"/>
          <w:sz w:val="28"/>
          <w:szCs w:val="28"/>
        </w:rPr>
      </w:pPr>
    </w:p>
    <w:p>
      <w:pPr>
        <w:spacing w:line="360" w:lineRule="auto"/>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主要完成人情况：</w:t>
      </w:r>
    </w:p>
    <w:tbl>
      <w:tblPr>
        <w:tblStyle w:val="5"/>
        <w:tblW w:w="8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900"/>
        <w:gridCol w:w="1438"/>
        <w:gridCol w:w="1631"/>
        <w:gridCol w:w="3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序号</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姓名</w:t>
            </w:r>
          </w:p>
        </w:tc>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职称</w:t>
            </w: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r>
              <w:rPr>
                <w:rFonts w:hint="eastAsia" w:ascii="Times New Roman" w:hAnsi="Times New Roman" w:eastAsia="仿宋" w:cs="Times New Roman"/>
                <w:szCs w:val="21"/>
              </w:rPr>
              <w:t>完成</w:t>
            </w:r>
            <w:r>
              <w:rPr>
                <w:rFonts w:ascii="Times New Roman" w:hAnsi="Times New Roman" w:eastAsia="仿宋" w:cs="Times New Roman"/>
                <w:szCs w:val="21"/>
              </w:rPr>
              <w:t>单位</w:t>
            </w:r>
          </w:p>
        </w:tc>
        <w:tc>
          <w:tcPr>
            <w:tcW w:w="371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r>
              <w:rPr>
                <w:rFonts w:ascii="Times New Roman" w:hAnsi="Times New Roman" w:eastAsia="仿宋" w:cs="Times New Roman"/>
                <w:szCs w:val="21"/>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4" w:name="item_187_1"/>
            <w:bookmarkEnd w:id="4"/>
            <w:r>
              <w:rPr>
                <w:rFonts w:ascii="Times New Roman" w:hAnsi="Times New Roman" w:eastAsia="仿宋" w:cs="Times New Roman"/>
                <w:szCs w:val="21"/>
              </w:rPr>
              <w:t>1</w:t>
            </w:r>
          </w:p>
        </w:tc>
        <w:tc>
          <w:tcPr>
            <w:tcW w:w="900"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cs="Times New Roman"/>
                <w:szCs w:val="21"/>
              </w:rPr>
            </w:pPr>
            <w:bookmarkStart w:id="5" w:name="item_180_1"/>
            <w:bookmarkEnd w:id="5"/>
            <w:r>
              <w:rPr>
                <w:rFonts w:ascii="Times New Roman" w:hAnsi="Times New Roman" w:eastAsia="仿宋" w:cs="Times New Roman"/>
                <w:szCs w:val="21"/>
              </w:rPr>
              <w:t>王美玲</w:t>
            </w:r>
          </w:p>
        </w:tc>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6" w:name="item_181_1"/>
            <w:bookmarkEnd w:id="6"/>
            <w:bookmarkStart w:id="7" w:name="item_183_1"/>
            <w:bookmarkEnd w:id="7"/>
            <w:r>
              <w:rPr>
                <w:rFonts w:ascii="Times New Roman" w:hAnsi="Times New Roman" w:eastAsia="仿宋" w:cs="Times New Roman"/>
                <w:szCs w:val="21"/>
              </w:rPr>
              <w:t>教授</w:t>
            </w: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8" w:name="item_185_1"/>
            <w:bookmarkEnd w:id="8"/>
            <w:bookmarkStart w:id="9" w:name="item_184_1"/>
            <w:bookmarkEnd w:id="9"/>
            <w:r>
              <w:rPr>
                <w:rFonts w:ascii="Times New Roman" w:hAnsi="Times New Roman" w:eastAsia="仿宋" w:cs="Times New Roman"/>
                <w:szCs w:val="21"/>
              </w:rPr>
              <w:t>太原理工大学</w:t>
            </w:r>
          </w:p>
        </w:tc>
        <w:tc>
          <w:tcPr>
            <w:tcW w:w="371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cs="Times New Roman"/>
                <w:szCs w:val="21"/>
              </w:rPr>
            </w:pPr>
            <w:bookmarkStart w:id="10" w:name="item_186_1"/>
            <w:bookmarkEnd w:id="10"/>
            <w:bookmarkStart w:id="11" w:name="OLE_LINK1"/>
            <w:r>
              <w:rPr>
                <w:rFonts w:ascii="Times New Roman" w:hAnsi="Times New Roman" w:eastAsia="仿宋" w:cs="Times New Roman"/>
                <w:szCs w:val="21"/>
              </w:rPr>
              <w:t>作为整个研究团队的学术引导者，负责项目研究内容的整体设计、</w:t>
            </w:r>
            <w:r>
              <w:rPr>
                <w:rFonts w:hint="eastAsia" w:ascii="Times New Roman" w:hAnsi="Times New Roman" w:eastAsia="仿宋" w:cs="Times New Roman"/>
                <w:szCs w:val="21"/>
              </w:rPr>
              <w:t>学术</w:t>
            </w:r>
            <w:r>
              <w:rPr>
                <w:rFonts w:ascii="Times New Roman" w:hAnsi="Times New Roman" w:eastAsia="仿宋" w:cs="Times New Roman"/>
                <w:szCs w:val="21"/>
              </w:rPr>
              <w:t>思想的提出和研究工作的学术指导。</w:t>
            </w:r>
            <w:r>
              <w:rPr>
                <w:rFonts w:hint="eastAsia" w:ascii="Times New Roman" w:hAnsi="Times New Roman" w:eastAsia="仿宋" w:cs="Times New Roman"/>
                <w:szCs w:val="21"/>
              </w:rPr>
              <w:t>首次发现了“纳米笼限域激活多酸本征活性”现象，阐明了“笼限域”效应激活多酸本征活性机制，澄清了限域型多酸储能机制</w:t>
            </w:r>
            <w:r>
              <w:rPr>
                <w:rFonts w:ascii="Times New Roman" w:hAnsi="Times New Roman" w:eastAsia="仿宋" w:cs="Times New Roman"/>
                <w:szCs w:val="21"/>
              </w:rPr>
              <w:t>；</w:t>
            </w:r>
            <w:r>
              <w:rPr>
                <w:rFonts w:hint="eastAsia" w:ascii="Times New Roman" w:hAnsi="Times New Roman" w:eastAsia="仿宋" w:cs="Times New Roman"/>
                <w:szCs w:val="21"/>
              </w:rPr>
              <w:t>提出“纳米</w:t>
            </w:r>
            <w:r>
              <w:rPr>
                <w:rFonts w:ascii="Times New Roman" w:hAnsi="Times New Roman" w:eastAsia="仿宋" w:cs="Times New Roman"/>
                <w:szCs w:val="21"/>
              </w:rPr>
              <w:t>笼限域热解</w:t>
            </w:r>
            <w:r>
              <w:rPr>
                <w:rFonts w:hint="eastAsia" w:ascii="Times New Roman" w:hAnsi="Times New Roman" w:eastAsia="仿宋" w:cs="Times New Roman"/>
                <w:szCs w:val="21"/>
              </w:rPr>
              <w:t>”</w:t>
            </w:r>
            <w:r>
              <w:rPr>
                <w:rFonts w:ascii="Times New Roman" w:hAnsi="Times New Roman" w:eastAsia="仿宋" w:cs="Times New Roman"/>
                <w:szCs w:val="21"/>
              </w:rPr>
              <w:t>策略</w:t>
            </w:r>
            <w:r>
              <w:rPr>
                <w:rFonts w:hint="eastAsia" w:ascii="Times New Roman" w:hAnsi="Times New Roman" w:eastAsia="仿宋" w:cs="Times New Roman"/>
                <w:szCs w:val="21"/>
              </w:rPr>
              <w:t>，并</w:t>
            </w:r>
            <w:r>
              <w:rPr>
                <w:rFonts w:ascii="Times New Roman" w:hAnsi="Times New Roman" w:eastAsia="仿宋" w:cs="Times New Roman"/>
                <w:szCs w:val="21"/>
              </w:rPr>
              <w:t>精准控制了多酸衍生电化学纳米材料的</w:t>
            </w:r>
            <w:r>
              <w:rPr>
                <w:rFonts w:hint="eastAsia" w:ascii="Times New Roman" w:hAnsi="Times New Roman" w:eastAsia="仿宋" w:cs="Times New Roman"/>
                <w:szCs w:val="21"/>
              </w:rPr>
              <w:t>跨尺度结构与分散性</w:t>
            </w:r>
            <w:r>
              <w:rPr>
                <w:rFonts w:ascii="Times New Roman" w:hAnsi="Times New Roman" w:eastAsia="仿宋" w:cs="Times New Roman"/>
                <w:szCs w:val="21"/>
              </w:rPr>
              <w:t>。</w:t>
            </w:r>
            <w:bookmarkEnd w:id="11"/>
            <w:r>
              <w:rPr>
                <w:rFonts w:hint="eastAsia" w:ascii="Times New Roman" w:hAnsi="Times New Roman" w:eastAsia="仿宋" w:cs="Times New Roman"/>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12" w:name="item_187_2"/>
            <w:bookmarkEnd w:id="12"/>
            <w:r>
              <w:rPr>
                <w:rFonts w:ascii="Times New Roman" w:hAnsi="Times New Roman" w:eastAsia="仿宋" w:cs="Times New Roman"/>
                <w:szCs w:val="21"/>
              </w:rPr>
              <w:t>2</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13" w:name="item_180_2"/>
            <w:bookmarkEnd w:id="13"/>
            <w:r>
              <w:rPr>
                <w:rFonts w:ascii="Times New Roman" w:hAnsi="Times New Roman" w:eastAsia="仿宋" w:cs="Times New Roman"/>
                <w:szCs w:val="21"/>
              </w:rPr>
              <w:t>周家东</w:t>
            </w:r>
          </w:p>
        </w:tc>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14" w:name="item_183_2"/>
            <w:bookmarkEnd w:id="14"/>
            <w:bookmarkStart w:id="15" w:name="item_181_2"/>
            <w:bookmarkEnd w:id="15"/>
            <w:r>
              <w:rPr>
                <w:rFonts w:ascii="Times New Roman" w:hAnsi="Times New Roman" w:eastAsia="仿宋" w:cs="Times New Roman"/>
                <w:szCs w:val="21"/>
              </w:rPr>
              <w:t>教授</w:t>
            </w: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16" w:name="item_185_2"/>
            <w:bookmarkEnd w:id="16"/>
            <w:bookmarkStart w:id="17" w:name="item_184_2"/>
            <w:bookmarkEnd w:id="17"/>
            <w:r>
              <w:rPr>
                <w:rFonts w:ascii="Times New Roman" w:hAnsi="Times New Roman" w:eastAsia="仿宋" w:cs="Times New Roman"/>
                <w:szCs w:val="21"/>
              </w:rPr>
              <w:t>北京理工大学</w:t>
            </w:r>
          </w:p>
        </w:tc>
        <w:tc>
          <w:tcPr>
            <w:tcW w:w="371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cs="Times New Roman"/>
                <w:szCs w:val="21"/>
              </w:rPr>
            </w:pPr>
            <w:bookmarkStart w:id="18" w:name="item_186_2"/>
            <w:bookmarkEnd w:id="18"/>
            <w:r>
              <w:rPr>
                <w:rFonts w:ascii="Times New Roman" w:hAnsi="Times New Roman" w:eastAsia="仿宋" w:cs="Times New Roman"/>
                <w:szCs w:val="21"/>
                <w:lang w:val="zh-CN" w:bidi="zh-CN"/>
              </w:rPr>
              <w:t>作为本项目的重要发现主要贡献者</w:t>
            </w:r>
            <w:r>
              <w:rPr>
                <w:rFonts w:hint="eastAsia" w:ascii="Times New Roman" w:hAnsi="Times New Roman" w:eastAsia="仿宋" w:cs="Times New Roman"/>
                <w:szCs w:val="21"/>
                <w:lang w:val="zh-CN" w:bidi="zh-CN"/>
              </w:rPr>
              <w:t>。</w:t>
            </w:r>
            <w:r>
              <w:rPr>
                <w:rFonts w:ascii="Times New Roman" w:hAnsi="Times New Roman" w:eastAsia="仿宋" w:cs="Times New Roman"/>
                <w:szCs w:val="21"/>
                <w:lang w:val="zh-CN" w:bidi="zh-CN"/>
              </w:rPr>
              <w:t>提出</w:t>
            </w:r>
            <w:r>
              <w:rPr>
                <w:rFonts w:hint="eastAsia" w:ascii="Times New Roman" w:hAnsi="Times New Roman" w:eastAsia="仿宋" w:cs="Times New Roman"/>
                <w:szCs w:val="21"/>
                <w:lang w:val="zh-CN" w:bidi="zh-CN"/>
              </w:rPr>
              <w:t>通过</w:t>
            </w:r>
            <w:r>
              <w:rPr>
                <w:rFonts w:ascii="Times New Roman" w:hAnsi="Times New Roman" w:eastAsia="仿宋" w:cs="Times New Roman"/>
                <w:szCs w:val="21"/>
                <w:lang w:val="zh-CN" w:bidi="zh-CN"/>
              </w:rPr>
              <w:t>纳米空间限域效应调控多酸电子结构，揭示了笼限域激活多酸</w:t>
            </w:r>
            <w:r>
              <w:rPr>
                <w:rFonts w:hint="eastAsia" w:ascii="Times New Roman" w:hAnsi="Times New Roman" w:eastAsia="仿宋" w:cs="Times New Roman"/>
                <w:szCs w:val="21"/>
                <w:lang w:val="zh-CN" w:bidi="zh-CN"/>
              </w:rPr>
              <w:t>本征</w:t>
            </w:r>
            <w:r>
              <w:rPr>
                <w:rFonts w:ascii="Times New Roman" w:hAnsi="Times New Roman" w:eastAsia="仿宋" w:cs="Times New Roman"/>
                <w:szCs w:val="21"/>
                <w:lang w:val="zh-CN" w:bidi="zh-CN"/>
              </w:rPr>
              <w:t>活性的机制；建立了“笼限域热解策略”控制金属基纳米材料分散性与跨尺度</w:t>
            </w:r>
            <w:r>
              <w:rPr>
                <w:rFonts w:hint="eastAsia" w:ascii="Times New Roman" w:hAnsi="Times New Roman" w:eastAsia="仿宋" w:cs="Times New Roman"/>
                <w:szCs w:val="21"/>
                <w:lang w:val="zh-CN" w:bidi="zh-CN"/>
              </w:rPr>
              <w:t>结构</w:t>
            </w:r>
            <w:r>
              <w:rPr>
                <w:rFonts w:ascii="Times New Roman" w:hAnsi="Times New Roman" w:eastAsia="仿宋" w:cs="Times New Roman"/>
                <w:szCs w:val="21"/>
                <w:lang w:val="zh-CN" w:bidi="zh-CN"/>
              </w:rPr>
              <w:t>的方法，提出了笼限域热解调控纳米材料微纳与表界面结构。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19" w:name="item_187_3"/>
            <w:bookmarkEnd w:id="19"/>
            <w:r>
              <w:rPr>
                <w:rFonts w:ascii="Times New Roman" w:hAnsi="Times New Roman" w:eastAsia="仿宋" w:cs="Times New Roman"/>
                <w:szCs w:val="21"/>
              </w:rPr>
              <w:t>3</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20" w:name="item_180_3"/>
            <w:bookmarkEnd w:id="20"/>
            <w:r>
              <w:rPr>
                <w:rFonts w:ascii="Times New Roman" w:hAnsi="Times New Roman" w:eastAsia="仿宋" w:cs="Times New Roman"/>
                <w:szCs w:val="21"/>
              </w:rPr>
              <w:t>陈照峰</w:t>
            </w:r>
          </w:p>
        </w:tc>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21" w:name="item_181_3"/>
            <w:bookmarkEnd w:id="21"/>
            <w:bookmarkStart w:id="22" w:name="item_183_3"/>
            <w:bookmarkEnd w:id="22"/>
            <w:r>
              <w:rPr>
                <w:rFonts w:ascii="Times New Roman" w:hAnsi="Times New Roman" w:eastAsia="仿宋" w:cs="Times New Roman"/>
                <w:szCs w:val="21"/>
              </w:rPr>
              <w:t>教授</w:t>
            </w: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23" w:name="item_184_3"/>
            <w:bookmarkEnd w:id="23"/>
            <w:bookmarkStart w:id="24" w:name="item_185_3"/>
            <w:bookmarkEnd w:id="24"/>
            <w:r>
              <w:rPr>
                <w:rFonts w:ascii="Times New Roman" w:hAnsi="Times New Roman" w:eastAsia="仿宋" w:cs="Times New Roman"/>
                <w:szCs w:val="21"/>
              </w:rPr>
              <w:t>南京航空航天大学</w:t>
            </w:r>
          </w:p>
        </w:tc>
        <w:tc>
          <w:tcPr>
            <w:tcW w:w="371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cs="Times New Roman"/>
                <w:szCs w:val="21"/>
              </w:rPr>
            </w:pPr>
            <w:bookmarkStart w:id="25" w:name="item_186_3"/>
            <w:bookmarkEnd w:id="25"/>
            <w:r>
              <w:rPr>
                <w:rFonts w:ascii="Times New Roman" w:hAnsi="Times New Roman" w:eastAsia="仿宋" w:cs="Times New Roman"/>
                <w:szCs w:val="21"/>
                <w:lang w:val="zh-CN" w:bidi="zh-CN"/>
              </w:rPr>
              <w:t>作为本项目的重要发现主要贡献者</w:t>
            </w:r>
            <w:r>
              <w:rPr>
                <w:rFonts w:hint="eastAsia" w:ascii="Times New Roman" w:hAnsi="Times New Roman" w:eastAsia="仿宋" w:cs="Times New Roman"/>
                <w:szCs w:val="21"/>
                <w:lang w:val="zh-CN" w:bidi="zh-CN"/>
              </w:rPr>
              <w:t>。提出通过柔性纳米“笼”的灵活性控制纳米笼与多酸界面结构，并结合限域热解控制MoO</w:t>
            </w:r>
            <w:r>
              <w:rPr>
                <w:rFonts w:hint="eastAsia" w:ascii="Times New Roman" w:hAnsi="Times New Roman" w:eastAsia="仿宋" w:cs="Times New Roman"/>
                <w:szCs w:val="21"/>
                <w:vertAlign w:val="subscript"/>
                <w:lang w:val="zh-CN" w:bidi="zh-CN"/>
              </w:rPr>
              <w:t>2</w:t>
            </w:r>
            <w:r>
              <w:rPr>
                <w:rFonts w:hint="eastAsia" w:ascii="Times New Roman" w:hAnsi="Times New Roman" w:eastAsia="仿宋" w:cs="Times New Roman"/>
                <w:szCs w:val="21"/>
                <w:lang w:val="zh-CN" w:bidi="zh-CN"/>
              </w:rPr>
              <w:t>纳米材料的分散度；建立了纳米</w:t>
            </w:r>
            <w:r>
              <w:rPr>
                <w:rFonts w:ascii="Times New Roman" w:hAnsi="Times New Roman" w:eastAsia="仿宋" w:cs="Times New Roman"/>
                <w:szCs w:val="21"/>
                <w:lang w:val="zh-CN" w:bidi="zh-CN"/>
              </w:rPr>
              <w:t>“笼”限域热解</w:t>
            </w:r>
            <w:r>
              <w:rPr>
                <w:rFonts w:hint="eastAsia" w:ascii="Times New Roman" w:hAnsi="Times New Roman" w:eastAsia="仿宋" w:cs="Times New Roman"/>
                <w:szCs w:val="21"/>
                <w:lang w:val="zh-CN" w:bidi="zh-CN"/>
              </w:rPr>
              <w:t>构筑</w:t>
            </w:r>
            <w:r>
              <w:rPr>
                <w:rFonts w:ascii="Times New Roman" w:hAnsi="Times New Roman" w:eastAsia="仿宋" w:cs="Times New Roman"/>
                <w:szCs w:val="21"/>
                <w:lang w:val="zh-CN" w:bidi="zh-CN"/>
              </w:rPr>
              <w:t>高分散性金属基纳米材料</w:t>
            </w:r>
            <w:r>
              <w:rPr>
                <w:rFonts w:hint="eastAsia" w:ascii="Times New Roman" w:hAnsi="Times New Roman" w:eastAsia="仿宋" w:cs="Times New Roman"/>
                <w:szCs w:val="21"/>
                <w:lang w:val="zh-CN" w:bidi="zh-CN"/>
              </w:rPr>
              <w:t>的方法</w:t>
            </w:r>
            <w:r>
              <w:rPr>
                <w:rFonts w:ascii="Times New Roman" w:hAnsi="Times New Roman" w:eastAsia="仿宋" w:cs="Times New Roman"/>
                <w:szCs w:val="21"/>
                <w:lang w:val="zh-CN" w:bidi="zh-CN"/>
              </w:rPr>
              <w:t>，揭示了</w:t>
            </w:r>
            <w:r>
              <w:rPr>
                <w:rFonts w:hint="eastAsia" w:ascii="Times New Roman" w:hAnsi="Times New Roman" w:eastAsia="仿宋" w:cs="Times New Roman"/>
                <w:szCs w:val="21"/>
                <w:lang w:val="zh-CN" w:bidi="zh-CN"/>
              </w:rPr>
              <w:t>纳米</w:t>
            </w:r>
            <w:r>
              <w:rPr>
                <w:rFonts w:ascii="Times New Roman" w:hAnsi="Times New Roman" w:eastAsia="仿宋" w:cs="Times New Roman"/>
                <w:szCs w:val="21"/>
                <w:lang w:val="zh-CN" w:bidi="zh-CN"/>
              </w:rPr>
              <w:t>“笼”限域热解调控金属基纳米材料结构的机制。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jc w:val="center"/>
        </w:trPr>
        <w:tc>
          <w:tcPr>
            <w:tcW w:w="81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26" w:name="item_187_4"/>
            <w:bookmarkEnd w:id="26"/>
            <w:bookmarkStart w:id="27" w:name="item_187_5"/>
            <w:bookmarkEnd w:id="27"/>
            <w:r>
              <w:rPr>
                <w:rFonts w:hint="eastAsia" w:ascii="Times New Roman" w:hAnsi="Times New Roman" w:eastAsia="仿宋" w:cs="Times New Roman"/>
                <w:szCs w:val="21"/>
              </w:rPr>
              <w:t>4</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28" w:name="item_180_5"/>
            <w:bookmarkEnd w:id="28"/>
            <w:r>
              <w:rPr>
                <w:rFonts w:ascii="Times New Roman" w:hAnsi="Times New Roman" w:eastAsia="仿宋" w:cs="Times New Roman"/>
                <w:szCs w:val="21"/>
              </w:rPr>
              <w:t>刘旭光</w:t>
            </w:r>
          </w:p>
        </w:tc>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29" w:name="item_181_5"/>
            <w:bookmarkEnd w:id="29"/>
            <w:bookmarkStart w:id="30" w:name="item_183_5"/>
            <w:bookmarkEnd w:id="30"/>
            <w:r>
              <w:rPr>
                <w:rFonts w:ascii="Times New Roman" w:hAnsi="Times New Roman" w:eastAsia="仿宋" w:cs="Times New Roman"/>
                <w:szCs w:val="21"/>
              </w:rPr>
              <w:t>教授</w:t>
            </w: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Cs w:val="21"/>
              </w:rPr>
            </w:pPr>
            <w:bookmarkStart w:id="31" w:name="item_185_5"/>
            <w:bookmarkEnd w:id="31"/>
            <w:bookmarkStart w:id="32" w:name="item_184_5"/>
            <w:bookmarkEnd w:id="32"/>
            <w:r>
              <w:rPr>
                <w:rFonts w:ascii="Times New Roman" w:hAnsi="Times New Roman" w:eastAsia="仿宋" w:cs="Times New Roman"/>
                <w:szCs w:val="21"/>
              </w:rPr>
              <w:t>太原理工大学</w:t>
            </w:r>
          </w:p>
        </w:tc>
        <w:tc>
          <w:tcPr>
            <w:tcW w:w="371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cs="Times New Roman"/>
                <w:szCs w:val="21"/>
              </w:rPr>
            </w:pPr>
            <w:bookmarkStart w:id="33" w:name="item_186_5"/>
            <w:bookmarkEnd w:id="33"/>
            <w:r>
              <w:rPr>
                <w:rFonts w:ascii="Times New Roman" w:hAnsi="Times New Roman" w:eastAsia="仿宋" w:cs="Times New Roman"/>
                <w:szCs w:val="21"/>
              </w:rPr>
              <w:t>负责项目部分研究内容的设计，发现水凝胶</w:t>
            </w:r>
            <w:r>
              <w:rPr>
                <w:rFonts w:hint="eastAsia" w:ascii="Times New Roman" w:hAnsi="Times New Roman" w:eastAsia="仿宋" w:cs="Times New Roman"/>
                <w:szCs w:val="21"/>
              </w:rPr>
              <w:t>纳米“笼”</w:t>
            </w:r>
            <w:r>
              <w:rPr>
                <w:rFonts w:ascii="Times New Roman" w:hAnsi="Times New Roman" w:eastAsia="仿宋" w:cs="Times New Roman"/>
                <w:szCs w:val="21"/>
              </w:rPr>
              <w:t>限域可以提高多酸基纳米材料分散性和稳定性；建立了笼限域热解策略控制多酸衍生电化学纳米材料结构的方法</w:t>
            </w:r>
            <w:r>
              <w:rPr>
                <w:rFonts w:hint="eastAsia" w:ascii="Times New Roman" w:hAnsi="Times New Roman" w:eastAsia="仿宋" w:cs="Times New Roman"/>
                <w:szCs w:val="21"/>
              </w:rPr>
              <w:t>，设计了跨尺度结构金属基纳米材料</w:t>
            </w:r>
            <w:r>
              <w:rPr>
                <w:rFonts w:ascii="Times New Roman" w:hAnsi="Times New Roman" w:eastAsia="仿宋" w:cs="Times New Roman"/>
                <w:szCs w:val="21"/>
              </w:rPr>
              <w:t>。</w:t>
            </w:r>
          </w:p>
        </w:tc>
      </w:tr>
    </w:tbl>
    <w:p>
      <w:pPr>
        <w:spacing w:line="360" w:lineRule="auto"/>
        <w:rPr>
          <w:rFonts w:ascii="Times New Roman" w:hAnsi="Times New Roman" w:eastAsia="仿宋" w:cs="Times New Roman"/>
          <w:b/>
          <w:kern w:val="0"/>
          <w:sz w:val="32"/>
          <w:szCs w:val="32"/>
        </w:rPr>
      </w:pPr>
    </w:p>
    <w:p>
      <w:pPr>
        <w:spacing w:line="360" w:lineRule="auto"/>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完成人合作关系说明：</w:t>
      </w:r>
    </w:p>
    <w:p>
      <w:pPr>
        <w:spacing w:line="360" w:lineRule="auto"/>
        <w:ind w:firstLine="640" w:firstLineChars="200"/>
        <w:rPr>
          <w:rFonts w:ascii="Times New Roman" w:hAnsi="Times New Roman" w:eastAsia="仿宋" w:cs="Times New Roman"/>
          <w:bCs/>
          <w:kern w:val="0"/>
          <w:sz w:val="32"/>
          <w:szCs w:val="32"/>
        </w:rPr>
      </w:pPr>
      <w:r>
        <w:rPr>
          <w:rFonts w:ascii="Times New Roman" w:hAnsi="Times New Roman" w:eastAsia="仿宋" w:cs="Times New Roman"/>
          <w:bCs/>
          <w:kern w:val="0"/>
          <w:sz w:val="32"/>
          <w:szCs w:val="32"/>
        </w:rPr>
        <w:t>本成果是由第一完成人王美玲与周家东、陈照峰</w:t>
      </w:r>
      <w:r>
        <w:rPr>
          <w:rFonts w:hint="eastAsia" w:ascii="Times New Roman" w:hAnsi="Times New Roman" w:eastAsia="仿宋" w:cs="Times New Roman"/>
          <w:bCs/>
          <w:kern w:val="0"/>
          <w:sz w:val="32"/>
          <w:szCs w:val="32"/>
        </w:rPr>
        <w:t>、</w:t>
      </w:r>
      <w:r>
        <w:rPr>
          <w:rFonts w:ascii="Times New Roman" w:hAnsi="Times New Roman" w:eastAsia="仿宋" w:cs="Times New Roman"/>
          <w:bCs/>
          <w:kern w:val="0"/>
          <w:sz w:val="32"/>
          <w:szCs w:val="32"/>
        </w:rPr>
        <w:t>刘旭光共同合作完成的。</w:t>
      </w:r>
    </w:p>
    <w:p>
      <w:pPr>
        <w:spacing w:line="360" w:lineRule="auto"/>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知情同意说明：</w:t>
      </w:r>
    </w:p>
    <w:p>
      <w:pPr>
        <w:spacing w:line="360" w:lineRule="auto"/>
        <w:ind w:firstLine="640" w:firstLineChars="200"/>
        <w:rPr>
          <w:rFonts w:ascii="Times New Roman" w:hAnsi="Times New Roman" w:eastAsia="仿宋" w:cs="Times New Roman"/>
          <w:bCs/>
          <w:kern w:val="0"/>
          <w:sz w:val="32"/>
          <w:szCs w:val="32"/>
        </w:rPr>
      </w:pPr>
      <w:r>
        <w:rPr>
          <w:rFonts w:ascii="Times New Roman" w:hAnsi="Times New Roman" w:eastAsia="仿宋" w:cs="Times New Roman"/>
          <w:bCs/>
          <w:kern w:val="0"/>
          <w:sz w:val="32"/>
          <w:szCs w:val="32"/>
        </w:rPr>
        <w:t>论文</w:t>
      </w:r>
      <w:r>
        <w:rPr>
          <w:rFonts w:hint="eastAsia" w:ascii="Times New Roman" w:hAnsi="Times New Roman" w:eastAsia="仿宋" w:cs="Times New Roman"/>
          <w:bCs/>
          <w:kern w:val="0"/>
          <w:sz w:val="32"/>
          <w:szCs w:val="32"/>
        </w:rPr>
        <w:t>[4]的第一作者（吴操）、论文</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5</w:t>
      </w:r>
      <w:r>
        <w:rPr>
          <w:rFonts w:ascii="Times New Roman" w:hAnsi="Times New Roman" w:eastAsia="仿宋" w:cs="Times New Roman"/>
          <w:bCs/>
          <w:kern w:val="0"/>
          <w:sz w:val="32"/>
          <w:szCs w:val="32"/>
        </w:rPr>
        <w:t>]的</w:t>
      </w:r>
      <w:r>
        <w:rPr>
          <w:rFonts w:hint="eastAsia" w:ascii="Times New Roman" w:hAnsi="Times New Roman" w:eastAsia="仿宋" w:cs="Times New Roman"/>
          <w:bCs/>
          <w:kern w:val="0"/>
          <w:sz w:val="32"/>
          <w:szCs w:val="32"/>
        </w:rPr>
        <w:t>第一作者</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丛文华</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w:t>
      </w:r>
      <w:r>
        <w:rPr>
          <w:rFonts w:ascii="Times New Roman" w:hAnsi="Times New Roman" w:eastAsia="仿宋" w:cs="Times New Roman"/>
          <w:bCs/>
          <w:kern w:val="0"/>
          <w:sz w:val="32"/>
          <w:szCs w:val="32"/>
        </w:rPr>
        <w:t>论文[</w:t>
      </w:r>
      <w:r>
        <w:rPr>
          <w:rFonts w:hint="eastAsia" w:ascii="Times New Roman" w:hAnsi="Times New Roman" w:eastAsia="仿宋" w:cs="Times New Roman"/>
          <w:bCs/>
          <w:kern w:val="0"/>
          <w:sz w:val="32"/>
          <w:szCs w:val="32"/>
        </w:rPr>
        <w:t>1</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[2]</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3</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[5]</w:t>
      </w:r>
      <w:r>
        <w:rPr>
          <w:rFonts w:ascii="Times New Roman" w:hAnsi="Times New Roman" w:eastAsia="仿宋" w:cs="Times New Roman"/>
          <w:bCs/>
          <w:kern w:val="0"/>
          <w:sz w:val="32"/>
          <w:szCs w:val="32"/>
        </w:rPr>
        <w:t>的共同一作(张勇、宋品、余一凡)以及论文[1][</w:t>
      </w:r>
      <w:r>
        <w:rPr>
          <w:rFonts w:hint="eastAsia" w:ascii="Times New Roman" w:hAnsi="Times New Roman" w:eastAsia="仿宋" w:cs="Times New Roman"/>
          <w:bCs/>
          <w:kern w:val="0"/>
          <w:sz w:val="32"/>
          <w:szCs w:val="32"/>
        </w:rPr>
        <w:t>2</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3</w:t>
      </w:r>
      <w:r>
        <w:rPr>
          <w:rFonts w:ascii="Times New Roman" w:hAnsi="Times New Roman" w:eastAsia="仿宋" w:cs="Times New Roman"/>
          <w:bCs/>
          <w:kern w:val="0"/>
          <w:sz w:val="32"/>
          <w:szCs w:val="32"/>
        </w:rPr>
        <w:t>]</w:t>
      </w:r>
      <w:r>
        <w:rPr>
          <w:rFonts w:hint="eastAsia" w:ascii="Times New Roman" w:hAnsi="Times New Roman" w:eastAsia="仿宋" w:cs="Times New Roman"/>
          <w:bCs/>
          <w:kern w:val="0"/>
          <w:sz w:val="32"/>
          <w:szCs w:val="32"/>
        </w:rPr>
        <w:t>[4]</w:t>
      </w:r>
      <w:r>
        <w:rPr>
          <w:rFonts w:ascii="Times New Roman" w:hAnsi="Times New Roman" w:eastAsia="仿宋" w:cs="Times New Roman"/>
          <w:bCs/>
          <w:kern w:val="0"/>
          <w:sz w:val="32"/>
          <w:szCs w:val="32"/>
        </w:rPr>
        <w:t>的共同通讯作者黄一中、王添、张天元均知情并同意王美玲（第一完成人）将上述论文用于申报202</w:t>
      </w:r>
      <w:r>
        <w:rPr>
          <w:rFonts w:hint="eastAsia" w:ascii="Times New Roman" w:hAnsi="Times New Roman" w:eastAsia="仿宋" w:cs="Times New Roman"/>
          <w:bCs/>
          <w:kern w:val="0"/>
          <w:sz w:val="32"/>
          <w:szCs w:val="32"/>
        </w:rPr>
        <w:t>5</w:t>
      </w:r>
      <w:r>
        <w:rPr>
          <w:rFonts w:ascii="Times New Roman" w:hAnsi="Times New Roman" w:eastAsia="仿宋" w:cs="Times New Roman"/>
          <w:bCs/>
          <w:kern w:val="0"/>
          <w:sz w:val="32"/>
          <w:szCs w:val="32"/>
        </w:rPr>
        <w:t xml:space="preserve">年山西省自然科学奖。 </w:t>
      </w:r>
    </w:p>
    <w:p>
      <w:pPr>
        <w:rPr>
          <w:rFonts w:hint="eastAsia" w:ascii="Times New Roman" w:hAnsi="Times New Roman" w:eastAsia="仿宋" w:cs="Times New Roman"/>
          <w:sz w:val="28"/>
          <w:szCs w:val="32"/>
        </w:rPr>
      </w:pPr>
    </w:p>
    <w:p>
      <w:pPr>
        <w:rPr>
          <w:rFonts w:ascii="Times New Roman" w:hAnsi="Times New Roman" w:eastAsia="仿宋" w:cs="Times New Roman"/>
          <w:sz w:val="32"/>
          <w:szCs w:val="36"/>
        </w:rPr>
      </w:pPr>
      <w:r>
        <w:rPr>
          <w:rFonts w:ascii="Times New Roman" w:hAnsi="Times New Roman" w:eastAsia="仿宋" w:cs="Times New Roman"/>
          <w:sz w:val="28"/>
          <w:szCs w:val="32"/>
        </w:rPr>
        <w:t xml:space="preserve">                                </w:t>
      </w:r>
      <w:r>
        <w:rPr>
          <w:rFonts w:ascii="Times New Roman" w:hAnsi="Times New Roman" w:eastAsia="仿宋" w:cs="Times New Roman"/>
          <w:sz w:val="32"/>
          <w:szCs w:val="36"/>
        </w:rPr>
        <w:t>项目负责人：（签字）</w:t>
      </w:r>
    </w:p>
    <w:p>
      <w:pPr>
        <w:jc w:val="right"/>
        <w:rPr>
          <w:rFonts w:ascii="Times New Roman" w:hAnsi="Times New Roman" w:eastAsia="仿宋" w:cs="Times New Roman"/>
          <w:sz w:val="32"/>
          <w:szCs w:val="36"/>
        </w:rPr>
      </w:pPr>
      <w:r>
        <w:rPr>
          <w:rFonts w:ascii="Times New Roman" w:hAnsi="Times New Roman" w:eastAsia="仿宋" w:cs="Times New Roman"/>
          <w:sz w:val="32"/>
          <w:szCs w:val="36"/>
        </w:rPr>
        <w:drawing>
          <wp:inline distT="0" distB="0" distL="0" distR="0">
            <wp:extent cx="1127760" cy="519430"/>
            <wp:effectExtent l="0" t="0" r="0" b="0"/>
            <wp:docPr id="1445415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15203"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44039" cy="527029"/>
                    </a:xfrm>
                    <a:prstGeom prst="rect">
                      <a:avLst/>
                    </a:prstGeom>
                  </pic:spPr>
                </pic:pic>
              </a:graphicData>
            </a:graphic>
          </wp:inline>
        </w:drawing>
      </w:r>
    </w:p>
    <w:p>
      <w:pPr>
        <w:rPr>
          <w:rFonts w:ascii="Times New Roman" w:hAnsi="Times New Roman" w:eastAsia="仿宋" w:cs="Times New Roman"/>
          <w:sz w:val="32"/>
          <w:szCs w:val="36"/>
        </w:rPr>
      </w:pPr>
      <w:r>
        <w:rPr>
          <w:rFonts w:ascii="Times New Roman" w:hAnsi="Times New Roman" w:eastAsia="仿宋" w:cs="Times New Roman"/>
          <w:sz w:val="32"/>
          <w:szCs w:val="36"/>
        </w:rPr>
        <w:t xml:space="preserve">                             </w:t>
      </w:r>
      <w:r>
        <w:rPr>
          <w:rFonts w:hint="eastAsia" w:ascii="Times New Roman" w:hAnsi="Times New Roman" w:eastAsia="仿宋" w:cs="Times New Roman"/>
          <w:sz w:val="32"/>
          <w:szCs w:val="36"/>
        </w:rPr>
        <w:t>2026年7月15日</w:t>
      </w:r>
    </w:p>
    <w:p>
      <w:pPr>
        <w:rPr>
          <w:rFonts w:ascii="Times New Roman" w:hAnsi="Times New Roman" w:eastAsia="仿宋" w:cs="Times New Roman"/>
          <w:sz w:val="28"/>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9C"/>
    <w:rsid w:val="000020C2"/>
    <w:rsid w:val="00013ADF"/>
    <w:rsid w:val="00055A9F"/>
    <w:rsid w:val="00074448"/>
    <w:rsid w:val="000924CC"/>
    <w:rsid w:val="000B21C2"/>
    <w:rsid w:val="000B4795"/>
    <w:rsid w:val="000F607C"/>
    <w:rsid w:val="0011054A"/>
    <w:rsid w:val="001174EE"/>
    <w:rsid w:val="0012730B"/>
    <w:rsid w:val="00131BE2"/>
    <w:rsid w:val="001353BE"/>
    <w:rsid w:val="00136C53"/>
    <w:rsid w:val="0014546E"/>
    <w:rsid w:val="001518D0"/>
    <w:rsid w:val="00151C2F"/>
    <w:rsid w:val="00176730"/>
    <w:rsid w:val="00196902"/>
    <w:rsid w:val="001C3028"/>
    <w:rsid w:val="0020021A"/>
    <w:rsid w:val="00214FEB"/>
    <w:rsid w:val="00224D4F"/>
    <w:rsid w:val="00233B8C"/>
    <w:rsid w:val="00244728"/>
    <w:rsid w:val="00262B75"/>
    <w:rsid w:val="0029591E"/>
    <w:rsid w:val="002A3E63"/>
    <w:rsid w:val="002B405D"/>
    <w:rsid w:val="002C1F83"/>
    <w:rsid w:val="002E1278"/>
    <w:rsid w:val="002F0227"/>
    <w:rsid w:val="002F33AB"/>
    <w:rsid w:val="002F3F18"/>
    <w:rsid w:val="00317C78"/>
    <w:rsid w:val="0032301F"/>
    <w:rsid w:val="00334F2C"/>
    <w:rsid w:val="00347DD1"/>
    <w:rsid w:val="00376348"/>
    <w:rsid w:val="00380582"/>
    <w:rsid w:val="00387723"/>
    <w:rsid w:val="00391D55"/>
    <w:rsid w:val="003B3A5D"/>
    <w:rsid w:val="003E01F0"/>
    <w:rsid w:val="003F6A09"/>
    <w:rsid w:val="004316FC"/>
    <w:rsid w:val="004332BB"/>
    <w:rsid w:val="00437844"/>
    <w:rsid w:val="00442DDB"/>
    <w:rsid w:val="00454282"/>
    <w:rsid w:val="004629EC"/>
    <w:rsid w:val="00496568"/>
    <w:rsid w:val="004C60A6"/>
    <w:rsid w:val="004C6A5D"/>
    <w:rsid w:val="004D009F"/>
    <w:rsid w:val="004D3D88"/>
    <w:rsid w:val="005103FA"/>
    <w:rsid w:val="00525EC3"/>
    <w:rsid w:val="00526026"/>
    <w:rsid w:val="005334FF"/>
    <w:rsid w:val="0054484B"/>
    <w:rsid w:val="00582194"/>
    <w:rsid w:val="005A096C"/>
    <w:rsid w:val="005A1283"/>
    <w:rsid w:val="005F25CA"/>
    <w:rsid w:val="00622985"/>
    <w:rsid w:val="00624BC4"/>
    <w:rsid w:val="00627DF1"/>
    <w:rsid w:val="0065782A"/>
    <w:rsid w:val="006754EF"/>
    <w:rsid w:val="006B52C6"/>
    <w:rsid w:val="006C1185"/>
    <w:rsid w:val="006D022B"/>
    <w:rsid w:val="006E3746"/>
    <w:rsid w:val="00723AAD"/>
    <w:rsid w:val="0072622F"/>
    <w:rsid w:val="007353CA"/>
    <w:rsid w:val="00743B65"/>
    <w:rsid w:val="00770138"/>
    <w:rsid w:val="007A67B8"/>
    <w:rsid w:val="007A7A28"/>
    <w:rsid w:val="007A7C9F"/>
    <w:rsid w:val="007F5EB5"/>
    <w:rsid w:val="007F655F"/>
    <w:rsid w:val="00857A38"/>
    <w:rsid w:val="00871F7F"/>
    <w:rsid w:val="00875F99"/>
    <w:rsid w:val="00877544"/>
    <w:rsid w:val="008851F5"/>
    <w:rsid w:val="008A6A03"/>
    <w:rsid w:val="008E3383"/>
    <w:rsid w:val="008E5FBB"/>
    <w:rsid w:val="008E7006"/>
    <w:rsid w:val="009141ED"/>
    <w:rsid w:val="009325B7"/>
    <w:rsid w:val="00933E9A"/>
    <w:rsid w:val="00940D2E"/>
    <w:rsid w:val="009419CD"/>
    <w:rsid w:val="00943FDF"/>
    <w:rsid w:val="0095210F"/>
    <w:rsid w:val="00973757"/>
    <w:rsid w:val="00983C9C"/>
    <w:rsid w:val="009A5695"/>
    <w:rsid w:val="009D169F"/>
    <w:rsid w:val="009E6E78"/>
    <w:rsid w:val="00A0310B"/>
    <w:rsid w:val="00A53A48"/>
    <w:rsid w:val="00A64275"/>
    <w:rsid w:val="00A666DC"/>
    <w:rsid w:val="00A7054A"/>
    <w:rsid w:val="00AC1C43"/>
    <w:rsid w:val="00AC6EDB"/>
    <w:rsid w:val="00AF3E48"/>
    <w:rsid w:val="00B01117"/>
    <w:rsid w:val="00B056FA"/>
    <w:rsid w:val="00B250F5"/>
    <w:rsid w:val="00B53918"/>
    <w:rsid w:val="00B65BED"/>
    <w:rsid w:val="00B72F1F"/>
    <w:rsid w:val="00B8097A"/>
    <w:rsid w:val="00B9020C"/>
    <w:rsid w:val="00BD4A76"/>
    <w:rsid w:val="00BD6EDB"/>
    <w:rsid w:val="00BF37A6"/>
    <w:rsid w:val="00BF4703"/>
    <w:rsid w:val="00C0077A"/>
    <w:rsid w:val="00C256FF"/>
    <w:rsid w:val="00C55709"/>
    <w:rsid w:val="00C56E03"/>
    <w:rsid w:val="00C66E9B"/>
    <w:rsid w:val="00C729A9"/>
    <w:rsid w:val="00CC375D"/>
    <w:rsid w:val="00CF7050"/>
    <w:rsid w:val="00D23483"/>
    <w:rsid w:val="00D27AA7"/>
    <w:rsid w:val="00D3606E"/>
    <w:rsid w:val="00D622AC"/>
    <w:rsid w:val="00D72FBC"/>
    <w:rsid w:val="00D86506"/>
    <w:rsid w:val="00DA5C31"/>
    <w:rsid w:val="00DC113B"/>
    <w:rsid w:val="00DC69D1"/>
    <w:rsid w:val="00DE4334"/>
    <w:rsid w:val="00DE703F"/>
    <w:rsid w:val="00E42A65"/>
    <w:rsid w:val="00E50BF7"/>
    <w:rsid w:val="00E731D2"/>
    <w:rsid w:val="00E8640F"/>
    <w:rsid w:val="00EA6F01"/>
    <w:rsid w:val="00EB40F3"/>
    <w:rsid w:val="00ED6DDC"/>
    <w:rsid w:val="00F03BBB"/>
    <w:rsid w:val="00F06F77"/>
    <w:rsid w:val="00F10A48"/>
    <w:rsid w:val="00F17A5A"/>
    <w:rsid w:val="00F32732"/>
    <w:rsid w:val="00F408DA"/>
    <w:rsid w:val="00F76021"/>
    <w:rsid w:val="00F9625A"/>
    <w:rsid w:val="00FA3D95"/>
    <w:rsid w:val="00FA4D29"/>
    <w:rsid w:val="00FD28F1"/>
    <w:rsid w:val="00FF17DB"/>
    <w:rsid w:val="2D4F5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日期 字符"/>
    <w:basedOn w:val="6"/>
    <w:link w:val="2"/>
    <w:semiHidden/>
    <w:uiPriority w:val="99"/>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D9B4B-4430-4E6C-9D22-29899C58F0EE}">
  <ds:schemaRefs/>
</ds:datastoreItem>
</file>

<file path=docProps/app.xml><?xml version="1.0" encoding="utf-8"?>
<Properties xmlns="http://schemas.openxmlformats.org/officeDocument/2006/extended-properties" xmlns:vt="http://schemas.openxmlformats.org/officeDocument/2006/docPropsVTypes">
  <Template>Normal.dotm</Template>
  <Pages>5</Pages>
  <Words>780</Words>
  <Characters>4448</Characters>
  <Lines>37</Lines>
  <Paragraphs>10</Paragraphs>
  <TotalTime>23</TotalTime>
  <ScaleCrop>false</ScaleCrop>
  <LinksUpToDate>false</LinksUpToDate>
  <CharactersWithSpaces>5218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2026-07-10T10:15:00Z</dcterms:created>
  <dc:creator>sunxiaoli</dc:creator>
  <cp:lastModifiedBy>赵玥</cp:lastModifiedBy>
  <dcterms:modified xsi:type="dcterms:W3CDTF">2026-07-20T02:14:28Z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DA193B55F9194A3780F56580A2568E7E_13</vt:lpwstr>
  </property>
</Properties>
</file>