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92AB8E">
      <w:pPr>
        <w:spacing w:line="312" w:lineRule="auto"/>
        <w:rPr>
          <w:rFonts w:ascii="Times New Roman" w:hAnsi="Times New Roman" w:eastAsia="宋体"/>
          <w:sz w:val="30"/>
          <w:szCs w:val="30"/>
        </w:rPr>
      </w:pPr>
      <w:r>
        <w:rPr>
          <w:rFonts w:hint="eastAsia" w:ascii="Times New Roman" w:hAnsi="Times New Roman" w:eastAsia="宋体"/>
          <w:sz w:val="30"/>
          <w:szCs w:val="30"/>
        </w:rPr>
        <w:t>附件：</w:t>
      </w:r>
    </w:p>
    <w:p w14:paraId="60CC5029">
      <w:pPr>
        <w:spacing w:line="312" w:lineRule="auto"/>
        <w:ind w:firstLine="643"/>
        <w:jc w:val="center"/>
        <w:rPr>
          <w:rFonts w:ascii="Times New Roman" w:hAnsi="Times New Roman" w:eastAsia="宋体"/>
          <w:b/>
          <w:bCs/>
          <w:sz w:val="32"/>
          <w:szCs w:val="32"/>
        </w:rPr>
      </w:pPr>
      <w:r>
        <w:rPr>
          <w:rFonts w:hint="eastAsia" w:ascii="Times New Roman" w:hAnsi="Times New Roman" w:eastAsia="宋体"/>
          <w:b/>
          <w:bCs/>
          <w:sz w:val="32"/>
          <w:szCs w:val="32"/>
        </w:rPr>
        <w:t>拟提名</w:t>
      </w:r>
      <w:r>
        <w:rPr>
          <w:rFonts w:ascii="Times New Roman" w:hAnsi="Times New Roman" w:eastAsia="宋体"/>
          <w:b/>
          <w:bCs/>
          <w:sz w:val="32"/>
          <w:szCs w:val="32"/>
        </w:rPr>
        <w:t>202</w:t>
      </w:r>
      <w:r>
        <w:rPr>
          <w:rFonts w:hint="eastAsia" w:ascii="Times New Roman" w:hAnsi="Times New Roman" w:eastAsia="宋体"/>
          <w:b/>
          <w:bCs/>
          <w:sz w:val="32"/>
          <w:szCs w:val="32"/>
          <w:lang w:val="en-US" w:eastAsia="zh-CN"/>
        </w:rPr>
        <w:t>5</w:t>
      </w:r>
      <w:r>
        <w:rPr>
          <w:rFonts w:ascii="Times New Roman" w:hAnsi="Times New Roman" w:eastAsia="宋体"/>
          <w:b/>
          <w:bCs/>
          <w:sz w:val="32"/>
          <w:szCs w:val="32"/>
        </w:rPr>
        <w:t>年度</w:t>
      </w:r>
      <w:r>
        <w:rPr>
          <w:rFonts w:hint="eastAsia" w:ascii="Times New Roman" w:hAnsi="Times New Roman" w:eastAsia="宋体"/>
          <w:b/>
          <w:bCs/>
          <w:sz w:val="32"/>
          <w:szCs w:val="32"/>
        </w:rPr>
        <w:t>重庆市</w:t>
      </w:r>
      <w:r>
        <w:rPr>
          <w:rFonts w:ascii="Times New Roman" w:hAnsi="Times New Roman" w:eastAsia="宋体"/>
          <w:b/>
          <w:bCs/>
          <w:sz w:val="32"/>
          <w:szCs w:val="32"/>
        </w:rPr>
        <w:t>科学技术奖项目公示内容</w:t>
      </w:r>
    </w:p>
    <w:p w14:paraId="192C0C1D">
      <w:pPr>
        <w:spacing w:line="312" w:lineRule="auto"/>
        <w:ind w:firstLine="643"/>
        <w:jc w:val="center"/>
        <w:rPr>
          <w:rFonts w:ascii="Times New Roman" w:hAnsi="Times New Roman" w:eastAsia="宋体"/>
          <w:b/>
          <w:bCs/>
          <w:sz w:val="32"/>
          <w:szCs w:val="32"/>
        </w:rPr>
      </w:pPr>
      <w:r>
        <w:rPr>
          <w:rFonts w:hint="eastAsia" w:ascii="Times New Roman" w:hAnsi="Times New Roman" w:eastAsia="宋体"/>
          <w:b/>
          <w:bCs/>
          <w:sz w:val="32"/>
          <w:szCs w:val="32"/>
        </w:rPr>
        <w:t>（科技进步）</w:t>
      </w:r>
    </w:p>
    <w:p w14:paraId="49D9787F">
      <w:pPr>
        <w:spacing w:line="312" w:lineRule="auto"/>
        <w:ind w:firstLine="562"/>
        <w:rPr>
          <w:rFonts w:ascii="Times New Roman" w:hAnsi="Times New Roman" w:eastAsia="宋体"/>
          <w:sz w:val="28"/>
          <w:szCs w:val="28"/>
        </w:rPr>
      </w:pPr>
      <w:r>
        <w:rPr>
          <w:rFonts w:ascii="Times New Roman" w:hAnsi="Times New Roman" w:eastAsia="宋体"/>
          <w:b/>
          <w:sz w:val="28"/>
          <w:szCs w:val="28"/>
        </w:rPr>
        <w:t>一</w:t>
      </w:r>
      <w:r>
        <w:rPr>
          <w:rFonts w:hint="eastAsia" w:ascii="Times New Roman" w:hAnsi="Times New Roman" w:eastAsia="宋体"/>
          <w:b/>
          <w:sz w:val="28"/>
          <w:szCs w:val="28"/>
        </w:rPr>
        <w:t>、</w:t>
      </w:r>
      <w:r>
        <w:rPr>
          <w:rFonts w:ascii="Times New Roman" w:hAnsi="Times New Roman" w:eastAsia="宋体"/>
          <w:b/>
          <w:sz w:val="28"/>
          <w:szCs w:val="28"/>
        </w:rPr>
        <w:t>项目名称</w:t>
      </w:r>
    </w:p>
    <w:p w14:paraId="36F07050">
      <w:pPr>
        <w:spacing w:line="312" w:lineRule="auto"/>
        <w:ind w:firstLine="440" w:firstLineChars="200"/>
        <w:rPr>
          <w:rFonts w:ascii="Times New Roman" w:hAnsi="Times New Roman" w:eastAsia="宋体"/>
          <w:szCs w:val="24"/>
        </w:rPr>
      </w:pPr>
      <w:r>
        <w:rPr>
          <w:rFonts w:hint="eastAsia" w:ascii="Times New Roman" w:hAnsi="Times New Roman" w:eastAsia="宋体"/>
          <w:szCs w:val="24"/>
        </w:rPr>
        <w:t>乡村人居空间演化机制及规划建设关键技术集成与应用</w:t>
      </w:r>
    </w:p>
    <w:p w14:paraId="41116E2D">
      <w:pPr>
        <w:numPr>
          <w:ilvl w:val="0"/>
          <w:numId w:val="1"/>
        </w:numPr>
        <w:spacing w:line="312" w:lineRule="auto"/>
        <w:ind w:firstLine="562"/>
        <w:rPr>
          <w:rFonts w:ascii="Times New Roman" w:hAnsi="Times New Roman" w:eastAsia="宋体"/>
          <w:b/>
          <w:sz w:val="28"/>
          <w:szCs w:val="28"/>
        </w:rPr>
      </w:pPr>
      <w:r>
        <w:rPr>
          <w:rFonts w:hint="eastAsia" w:ascii="Times New Roman" w:hAnsi="Times New Roman" w:eastAsia="宋体"/>
          <w:b/>
          <w:sz w:val="28"/>
          <w:szCs w:val="28"/>
        </w:rPr>
        <w:t>提名者</w:t>
      </w:r>
    </w:p>
    <w:p w14:paraId="54BC8844">
      <w:pPr>
        <w:spacing w:line="312" w:lineRule="auto"/>
        <w:ind w:firstLine="440" w:firstLineChars="200"/>
        <w:rPr>
          <w:rFonts w:ascii="Times New Roman" w:hAnsi="Times New Roman" w:eastAsia="宋体"/>
          <w:bCs/>
          <w:sz w:val="28"/>
          <w:szCs w:val="28"/>
        </w:rPr>
      </w:pPr>
      <w:r>
        <w:rPr>
          <w:rFonts w:hint="eastAsia" w:ascii="Times New Roman" w:hAnsi="Times New Roman" w:eastAsia="宋体"/>
          <w:szCs w:val="24"/>
        </w:rPr>
        <w:t>重庆市沙坪坝区人民政府</w:t>
      </w:r>
    </w:p>
    <w:p w14:paraId="5FC48353">
      <w:pPr>
        <w:numPr>
          <w:ilvl w:val="0"/>
          <w:numId w:val="1"/>
        </w:numPr>
        <w:spacing w:line="312" w:lineRule="auto"/>
        <w:ind w:firstLine="562"/>
        <w:rPr>
          <w:rFonts w:ascii="Times New Roman" w:hAnsi="Times New Roman" w:eastAsia="宋体"/>
          <w:b/>
          <w:sz w:val="28"/>
          <w:szCs w:val="28"/>
        </w:rPr>
      </w:pPr>
      <w:r>
        <w:rPr>
          <w:rFonts w:hint="eastAsia" w:ascii="Times New Roman" w:hAnsi="Times New Roman" w:eastAsia="宋体"/>
          <w:b/>
          <w:sz w:val="28"/>
          <w:szCs w:val="28"/>
        </w:rPr>
        <w:t>提名等级</w:t>
      </w:r>
    </w:p>
    <w:p w14:paraId="10EEF334">
      <w:pPr>
        <w:spacing w:line="312" w:lineRule="auto"/>
        <w:ind w:firstLine="440" w:firstLineChars="200"/>
        <w:rPr>
          <w:rFonts w:ascii="Times New Roman" w:hAnsi="Times New Roman" w:eastAsia="宋体"/>
          <w:szCs w:val="24"/>
        </w:rPr>
      </w:pPr>
      <w:r>
        <w:rPr>
          <w:rFonts w:hint="eastAsia" w:ascii="Times New Roman" w:hAnsi="Times New Roman" w:eastAsia="宋体"/>
          <w:szCs w:val="24"/>
        </w:rPr>
        <w:t>科技进步奖</w:t>
      </w:r>
      <w:r>
        <w:rPr>
          <w:rFonts w:hint="eastAsia" w:ascii="Times New Roman" w:hAnsi="Times New Roman" w:eastAsia="宋体"/>
          <w:szCs w:val="24"/>
          <w:lang w:val="en-US" w:eastAsia="zh-CN"/>
        </w:rPr>
        <w:t>一</w:t>
      </w:r>
      <w:r>
        <w:rPr>
          <w:rFonts w:hint="eastAsia" w:ascii="Times New Roman" w:hAnsi="Times New Roman" w:eastAsia="宋体"/>
          <w:szCs w:val="24"/>
        </w:rPr>
        <w:t>等奖</w:t>
      </w:r>
    </w:p>
    <w:p w14:paraId="43773890">
      <w:pPr>
        <w:widowControl/>
        <w:numPr>
          <w:ilvl w:val="0"/>
          <w:numId w:val="1"/>
        </w:numPr>
        <w:spacing w:line="312" w:lineRule="auto"/>
        <w:ind w:firstLine="562"/>
        <w:rPr>
          <w:rFonts w:ascii="Times New Roman" w:hAnsi="Times New Roman" w:eastAsia="宋体"/>
          <w:b/>
          <w:sz w:val="28"/>
          <w:szCs w:val="28"/>
        </w:rPr>
      </w:pPr>
      <w:r>
        <w:rPr>
          <w:rFonts w:ascii="Times New Roman" w:hAnsi="Times New Roman" w:eastAsia="宋体"/>
          <w:b/>
          <w:sz w:val="28"/>
          <w:szCs w:val="28"/>
        </w:rPr>
        <w:t>项目简介</w:t>
      </w:r>
    </w:p>
    <w:p w14:paraId="1BFDA030">
      <w:pPr>
        <w:spacing w:line="312" w:lineRule="auto"/>
        <w:ind w:firstLine="440" w:firstLineChars="200"/>
        <w:rPr>
          <w:rFonts w:hint="eastAsia" w:ascii="Times New Roman" w:hAnsi="Times New Roman" w:eastAsia="宋体"/>
          <w:szCs w:val="24"/>
        </w:rPr>
      </w:pPr>
      <w:r>
        <w:rPr>
          <w:rFonts w:hint="eastAsia" w:ascii="Times New Roman" w:hAnsi="Times New Roman" w:eastAsia="宋体"/>
          <w:szCs w:val="24"/>
        </w:rPr>
        <w:t>我国乡村人居建设处于“百年未有大变局”。ICT技术加剧乡村人口流失，人力、资金和传统技术等建设资源持续萎缩，空心化愈演愈烈；另一方面，城市反哺乡村、扶贫共富等行动推动城市资源向乡村流动，但也造成城市发展模式向乡村移植的客观事实，同质化趋势明显。如何认识乡村人居复杂巨系统的流动性规律，不仅关乎宜居宜业和美乡村建设，也深刻影响新型城乡关系建构和城市更新战略。地理学、社会学和管理学等学科初步建立乡村人居“流动性”的宏观认知及政策介入体系，但微观机制及物质空间干预工具，仍是尚待解决的关键科学问题。</w:t>
      </w:r>
    </w:p>
    <w:p w14:paraId="0A01F49E">
      <w:pPr>
        <w:spacing w:line="312" w:lineRule="auto"/>
        <w:ind w:firstLine="440" w:firstLineChars="200"/>
        <w:rPr>
          <w:rFonts w:hint="eastAsia" w:ascii="Times New Roman" w:hAnsi="Times New Roman" w:eastAsia="宋体"/>
          <w:szCs w:val="24"/>
        </w:rPr>
      </w:pPr>
      <w:r>
        <w:rPr>
          <w:rFonts w:hint="eastAsia" w:ascii="Times New Roman" w:hAnsi="Times New Roman" w:eastAsia="宋体"/>
          <w:szCs w:val="24"/>
        </w:rPr>
        <w:t>为此，在国家科技支撑计划、重点研发计划，国家社科基金重点项目等国家和省部级课题支撑下，探索乡村复杂人居系统演化的动力学机制与规划建设关键技术，形成“规律提炼-技术研发-应用实践”的科技成果转化闭环，主要技术内容有3个：①揭示乡村人居空间形态演化的农户流动微观动力学机制及空间结构的网络化规律；②创立基于村域人居网络演化趋势的节点与廊道空间规划设计干预技术体系；③集成乡村人居空间网络化发展的时空模拟与规划支撑系统，推动工程应用从“静态蓝图”转向“数字孪生”模式。</w:t>
      </w:r>
    </w:p>
    <w:p w14:paraId="60317EEC">
      <w:pPr>
        <w:spacing w:line="312" w:lineRule="auto"/>
        <w:ind w:firstLine="440" w:firstLineChars="200"/>
        <w:rPr>
          <w:rFonts w:hint="eastAsia" w:ascii="Times New Roman" w:hAnsi="Times New Roman" w:eastAsia="宋体"/>
          <w:szCs w:val="24"/>
        </w:rPr>
      </w:pPr>
      <w:r>
        <w:rPr>
          <w:rFonts w:hint="eastAsia" w:ascii="Times New Roman" w:hAnsi="Times New Roman" w:eastAsia="宋体"/>
          <w:szCs w:val="24"/>
        </w:rPr>
        <w:t>聚焦乡村空心化问题，建构农户个体及家庭生计行为的演化网络，揭示乡村居民点布局和生活圈配置的“集聚-分化”双向作用机制，研判机制作用下的要素流动的轨迹特征和强度分异。揭示乡村人居物质空间与要素流动互构的微观动力学机制及空间结构网络化流动规律，为乡村人居空间扩展和收缩的演化识别提供科学判据。</w:t>
      </w:r>
    </w:p>
    <w:p w14:paraId="704B8F2F">
      <w:pPr>
        <w:spacing w:line="312" w:lineRule="auto"/>
        <w:ind w:firstLine="440" w:firstLineChars="200"/>
        <w:rPr>
          <w:rFonts w:hint="eastAsia" w:ascii="Times New Roman" w:hAnsi="Times New Roman" w:eastAsia="宋体"/>
          <w:szCs w:val="24"/>
        </w:rPr>
      </w:pPr>
      <w:r>
        <w:rPr>
          <w:rFonts w:hint="eastAsia" w:ascii="Times New Roman" w:hAnsi="Times New Roman" w:eastAsia="宋体"/>
          <w:szCs w:val="24"/>
        </w:rPr>
        <w:t>为破解乡村“各自为政”发展现象，建构以“千人指标、服务半径”的城市中心地模式向“家庭行为、服务网络”的乡村中心流配置的技术路径，以村域宅基地布局优化、集体用地挖潜、基础设施与公共服务设施功能提升为抓手，创立村域空间尺度基于人居网络演化趋势判别的节点与廊道空间规划设计干预体系，为优化村域资源利用效率和可靠性保障能力提供物质空间干预工具。</w:t>
      </w:r>
    </w:p>
    <w:p w14:paraId="23B41850">
      <w:pPr>
        <w:spacing w:line="312" w:lineRule="auto"/>
        <w:ind w:firstLine="440" w:firstLineChars="200"/>
        <w:rPr>
          <w:rFonts w:hint="eastAsia" w:ascii="Times New Roman" w:hAnsi="Times New Roman" w:eastAsia="宋体"/>
          <w:szCs w:val="24"/>
        </w:rPr>
      </w:pPr>
      <w:r>
        <w:rPr>
          <w:rFonts w:hint="eastAsia" w:ascii="Times New Roman" w:hAnsi="Times New Roman" w:eastAsia="宋体"/>
          <w:szCs w:val="24"/>
        </w:rPr>
        <w:t>响应乡村现代化治理要求，基于轻量化的B/S（Browser/Server）Web架构技术逻辑，集成乡村发展类型、空间扩展趋势判别</w:t>
      </w:r>
      <w:bookmarkStart w:id="0" w:name="_GoBack"/>
      <w:bookmarkEnd w:id="0"/>
      <w:r>
        <w:rPr>
          <w:rFonts w:hint="eastAsia" w:ascii="Times New Roman" w:hAnsi="Times New Roman" w:eastAsia="宋体"/>
          <w:szCs w:val="24"/>
        </w:rPr>
        <w:t>、干预前后综合效应评价等实用功能模块，研发乡村人居空间网络化发展的时空模拟与规划支撑系统，推动乡村规划建设从“静态蓝图”转向“数字孪生”的治理模式。</w:t>
      </w:r>
    </w:p>
    <w:p w14:paraId="416789A8">
      <w:pPr>
        <w:widowControl/>
        <w:numPr>
          <w:ilvl w:val="0"/>
          <w:numId w:val="1"/>
        </w:numPr>
        <w:spacing w:line="312" w:lineRule="auto"/>
        <w:ind w:left="0" w:leftChars="0" w:firstLine="562" w:firstLineChars="0"/>
        <w:rPr>
          <w:rFonts w:hint="eastAsia" w:ascii="Times New Roman" w:hAnsi="Times New Roman" w:eastAsia="宋体"/>
          <w:b/>
          <w:sz w:val="28"/>
          <w:szCs w:val="28"/>
        </w:rPr>
      </w:pPr>
      <w:r>
        <w:rPr>
          <w:rFonts w:hint="eastAsia" w:ascii="Times New Roman" w:hAnsi="Times New Roman" w:eastAsia="宋体"/>
          <w:b/>
          <w:sz w:val="28"/>
          <w:szCs w:val="28"/>
        </w:rPr>
        <w:t>主要知识产权和标准规范等目录</w:t>
      </w:r>
    </w:p>
    <w:tbl>
      <w:tblPr>
        <w:tblStyle w:val="5"/>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5"/>
        <w:gridCol w:w="6817"/>
      </w:tblGrid>
      <w:tr w14:paraId="377AE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1705" w:type="dxa"/>
            <w:vAlign w:val="center"/>
          </w:tcPr>
          <w:p w14:paraId="3045B886">
            <w:pPr>
              <w:widowControl/>
              <w:numPr>
                <w:ilvl w:val="0"/>
                <w:numId w:val="0"/>
              </w:numPr>
              <w:snapToGrid w:val="0"/>
              <w:spacing w:line="240" w:lineRule="auto"/>
              <w:ind w:left="0" w:leftChars="0" w:right="0" w:rightChars="0" w:firstLine="0" w:firstLineChars="0"/>
              <w:jc w:val="center"/>
              <w:rPr>
                <w:rFonts w:hint="eastAsia" w:ascii="Times New Roman" w:hAnsi="Times New Roman" w:eastAsia="宋体"/>
                <w:b/>
                <w:sz w:val="22"/>
                <w:szCs w:val="22"/>
                <w:vertAlign w:val="baseline"/>
              </w:rPr>
            </w:pPr>
            <w:r>
              <w:rPr>
                <w:rFonts w:ascii="Times New Roman" w:hAnsi="Times New Roman" w:eastAsia="宋体"/>
                <w:b/>
                <w:sz w:val="22"/>
                <w:szCs w:val="22"/>
              </w:rPr>
              <w:t>知识产权类别</w:t>
            </w:r>
          </w:p>
        </w:tc>
        <w:tc>
          <w:tcPr>
            <w:tcW w:w="6817" w:type="dxa"/>
            <w:vAlign w:val="center"/>
          </w:tcPr>
          <w:p w14:paraId="1A974095">
            <w:pPr>
              <w:widowControl/>
              <w:numPr>
                <w:ilvl w:val="0"/>
                <w:numId w:val="0"/>
              </w:numPr>
              <w:snapToGrid w:val="0"/>
              <w:spacing w:line="240" w:lineRule="auto"/>
              <w:ind w:left="0" w:leftChars="0" w:right="0" w:rightChars="0" w:firstLine="0" w:firstLineChars="0"/>
              <w:jc w:val="center"/>
              <w:rPr>
                <w:rFonts w:hint="default" w:ascii="Times New Roman" w:hAnsi="Times New Roman" w:eastAsia="宋体"/>
                <w:b/>
                <w:sz w:val="22"/>
                <w:szCs w:val="22"/>
                <w:vertAlign w:val="baseline"/>
                <w:lang w:val="en-US" w:eastAsia="zh-CN"/>
              </w:rPr>
            </w:pPr>
            <w:r>
              <w:rPr>
                <w:rFonts w:hint="eastAsia" w:ascii="Times New Roman" w:hAnsi="Times New Roman" w:eastAsia="宋体"/>
                <w:b/>
                <w:sz w:val="22"/>
                <w:szCs w:val="22"/>
                <w:lang w:val="en-US" w:eastAsia="zh-CN"/>
              </w:rPr>
              <w:t>项目名称</w:t>
            </w:r>
          </w:p>
        </w:tc>
      </w:tr>
      <w:tr w14:paraId="4345E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705" w:type="dxa"/>
            <w:vAlign w:val="center"/>
          </w:tcPr>
          <w:p w14:paraId="43AEFFC3">
            <w:pPr>
              <w:widowControl/>
              <w:numPr>
                <w:ilvl w:val="0"/>
                <w:numId w:val="0"/>
              </w:numPr>
              <w:snapToGrid w:val="0"/>
              <w:spacing w:line="240" w:lineRule="auto"/>
              <w:ind w:left="0" w:leftChars="0" w:right="0" w:rightChars="0" w:firstLine="0" w:firstLineChars="0"/>
              <w:jc w:val="center"/>
              <w:rPr>
                <w:rFonts w:hint="eastAsia" w:ascii="Times New Roman" w:hAnsi="Times New Roman" w:eastAsia="宋体"/>
                <w:b/>
                <w:sz w:val="22"/>
                <w:szCs w:val="22"/>
                <w:vertAlign w:val="baseline"/>
              </w:rPr>
            </w:pPr>
            <w:r>
              <w:rPr>
                <w:rFonts w:hint="eastAsia" w:ascii="Times New Roman" w:hAnsi="Times New Roman" w:eastAsia="宋体"/>
                <w:color w:val="000000" w:themeColor="text1"/>
                <w:sz w:val="22"/>
                <w:szCs w:val="22"/>
                <w14:textFill>
                  <w14:solidFill>
                    <w14:schemeClr w14:val="tx1"/>
                  </w14:solidFill>
                </w14:textFill>
              </w:rPr>
              <w:t>发明专利</w:t>
            </w:r>
          </w:p>
        </w:tc>
        <w:tc>
          <w:tcPr>
            <w:tcW w:w="6817" w:type="dxa"/>
            <w:vAlign w:val="center"/>
          </w:tcPr>
          <w:p w14:paraId="5D5639DC">
            <w:pPr>
              <w:widowControl/>
              <w:numPr>
                <w:ilvl w:val="0"/>
                <w:numId w:val="0"/>
              </w:numPr>
              <w:snapToGrid w:val="0"/>
              <w:spacing w:line="240" w:lineRule="auto"/>
              <w:ind w:left="0" w:leftChars="0" w:right="0" w:rightChars="0" w:firstLine="0" w:firstLineChars="0"/>
              <w:jc w:val="left"/>
              <w:rPr>
                <w:rFonts w:hint="eastAsia" w:ascii="Times New Roman" w:hAnsi="Times New Roman" w:eastAsia="宋体"/>
                <w:color w:val="000000" w:themeColor="text1"/>
                <w:sz w:val="22"/>
                <w:szCs w:val="22"/>
                <w14:textFill>
                  <w14:solidFill>
                    <w14:schemeClr w14:val="tx1"/>
                  </w14:solidFill>
                </w14:textFill>
              </w:rPr>
            </w:pPr>
            <w:r>
              <w:rPr>
                <w:rFonts w:hint="eastAsia" w:ascii="Times New Roman" w:hAnsi="Times New Roman" w:eastAsia="宋体"/>
                <w:color w:val="000000" w:themeColor="text1"/>
                <w:sz w:val="22"/>
                <w:szCs w:val="22"/>
                <w14:textFill>
                  <w14:solidFill>
                    <w14:schemeClr w14:val="tx1"/>
                  </w14:solidFill>
                </w14:textFill>
              </w:rPr>
              <w:t>重庆大学.一种空间复杂网络特征提取方法:202411915599.1[P].2025-04-18.</w:t>
            </w:r>
          </w:p>
        </w:tc>
      </w:tr>
      <w:tr w14:paraId="4B6FB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705" w:type="dxa"/>
            <w:vAlign w:val="center"/>
          </w:tcPr>
          <w:p w14:paraId="402D3529">
            <w:pPr>
              <w:widowControl/>
              <w:numPr>
                <w:ilvl w:val="0"/>
                <w:numId w:val="0"/>
              </w:numPr>
              <w:snapToGrid w:val="0"/>
              <w:spacing w:line="240" w:lineRule="auto"/>
              <w:ind w:left="0" w:leftChars="0" w:right="0" w:rightChars="0" w:firstLine="0" w:firstLineChars="0"/>
              <w:jc w:val="center"/>
              <w:rPr>
                <w:rFonts w:hint="eastAsia" w:ascii="Times New Roman" w:hAnsi="Times New Roman" w:eastAsia="宋体"/>
                <w:b/>
                <w:sz w:val="22"/>
                <w:szCs w:val="22"/>
                <w:vertAlign w:val="baseline"/>
              </w:rPr>
            </w:pPr>
            <w:r>
              <w:rPr>
                <w:rFonts w:hint="eastAsia" w:ascii="Times New Roman" w:hAnsi="Times New Roman" w:eastAsia="宋体"/>
                <w:color w:val="000000" w:themeColor="text1"/>
                <w:sz w:val="22"/>
                <w:szCs w:val="22"/>
                <w14:textFill>
                  <w14:solidFill>
                    <w14:schemeClr w14:val="tx1"/>
                  </w14:solidFill>
                </w14:textFill>
              </w:rPr>
              <w:t>发明专利</w:t>
            </w:r>
          </w:p>
        </w:tc>
        <w:tc>
          <w:tcPr>
            <w:tcW w:w="6817" w:type="dxa"/>
            <w:vAlign w:val="center"/>
          </w:tcPr>
          <w:p w14:paraId="7EF77542">
            <w:pPr>
              <w:widowControl/>
              <w:numPr>
                <w:ilvl w:val="0"/>
                <w:numId w:val="0"/>
              </w:numPr>
              <w:snapToGrid w:val="0"/>
              <w:spacing w:line="240" w:lineRule="auto"/>
              <w:ind w:left="0" w:leftChars="0" w:right="0" w:rightChars="0" w:firstLine="0" w:firstLineChars="0"/>
              <w:jc w:val="left"/>
              <w:rPr>
                <w:rFonts w:hint="eastAsia" w:ascii="Times New Roman" w:hAnsi="Times New Roman" w:eastAsia="宋体"/>
                <w:b/>
                <w:sz w:val="22"/>
                <w:szCs w:val="22"/>
                <w:vertAlign w:val="baseline"/>
              </w:rPr>
            </w:pPr>
            <w:r>
              <w:rPr>
                <w:rFonts w:hint="eastAsia" w:ascii="Times New Roman" w:hAnsi="Times New Roman" w:eastAsia="宋体"/>
                <w:color w:val="000000" w:themeColor="text1"/>
                <w:sz w:val="22"/>
                <w:szCs w:val="22"/>
                <w14:textFill>
                  <w14:solidFill>
                    <w14:schemeClr w14:val="tx1"/>
                  </w14:solidFill>
                </w14:textFill>
              </w:rPr>
              <w:t>重庆大学.基于公路的乡村聚落演化预测方法、装置、设备及介质:202210190464.8[P].2024-09-13.</w:t>
            </w:r>
          </w:p>
        </w:tc>
      </w:tr>
      <w:tr w14:paraId="0862D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705" w:type="dxa"/>
            <w:vAlign w:val="center"/>
          </w:tcPr>
          <w:p w14:paraId="53F72B0C">
            <w:pPr>
              <w:widowControl/>
              <w:numPr>
                <w:ilvl w:val="0"/>
                <w:numId w:val="0"/>
              </w:numPr>
              <w:snapToGrid w:val="0"/>
              <w:spacing w:line="240" w:lineRule="auto"/>
              <w:ind w:left="0" w:leftChars="0" w:right="0" w:rightChars="0" w:firstLine="0" w:firstLineChars="0"/>
              <w:jc w:val="center"/>
              <w:rPr>
                <w:rFonts w:hint="eastAsia" w:ascii="Times New Roman" w:hAnsi="Times New Roman" w:eastAsia="宋体"/>
                <w:b/>
                <w:sz w:val="22"/>
                <w:szCs w:val="22"/>
                <w:vertAlign w:val="baseline"/>
              </w:rPr>
            </w:pPr>
            <w:r>
              <w:rPr>
                <w:rFonts w:hint="eastAsia" w:ascii="Times New Roman" w:hAnsi="Times New Roman" w:eastAsia="宋体"/>
                <w:color w:val="000000" w:themeColor="text1"/>
                <w:sz w:val="22"/>
                <w:szCs w:val="22"/>
                <w14:textFill>
                  <w14:solidFill>
                    <w14:schemeClr w14:val="tx1"/>
                  </w14:solidFill>
                </w14:textFill>
              </w:rPr>
              <w:t>发明专利</w:t>
            </w:r>
          </w:p>
        </w:tc>
        <w:tc>
          <w:tcPr>
            <w:tcW w:w="6817" w:type="dxa"/>
            <w:vAlign w:val="center"/>
          </w:tcPr>
          <w:p w14:paraId="167288B2">
            <w:pPr>
              <w:widowControl/>
              <w:numPr>
                <w:ilvl w:val="0"/>
                <w:numId w:val="0"/>
              </w:numPr>
              <w:snapToGrid w:val="0"/>
              <w:spacing w:line="240" w:lineRule="auto"/>
              <w:ind w:left="0" w:leftChars="0" w:right="0" w:rightChars="0" w:firstLine="0" w:firstLineChars="0"/>
              <w:jc w:val="left"/>
              <w:rPr>
                <w:rFonts w:hint="eastAsia" w:ascii="Times New Roman" w:hAnsi="Times New Roman" w:eastAsia="宋体"/>
                <w:b/>
                <w:sz w:val="22"/>
                <w:szCs w:val="22"/>
                <w:vertAlign w:val="baseline"/>
              </w:rPr>
            </w:pPr>
            <w:r>
              <w:rPr>
                <w:rFonts w:hint="eastAsia" w:ascii="Times New Roman" w:hAnsi="Times New Roman" w:eastAsia="宋体"/>
                <w:color w:val="000000" w:themeColor="text1"/>
                <w:sz w:val="22"/>
                <w:szCs w:val="22"/>
                <w14:textFill>
                  <w14:solidFill>
                    <w14:schemeClr w14:val="tx1"/>
                  </w14:solidFill>
                </w14:textFill>
              </w:rPr>
              <w:t>重庆大学.村镇生活垃圾低成本收运系统的评估方法:201810343326.2[P].2021-09-24.</w:t>
            </w:r>
          </w:p>
        </w:tc>
      </w:tr>
      <w:tr w14:paraId="0FC99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705" w:type="dxa"/>
            <w:vAlign w:val="center"/>
          </w:tcPr>
          <w:p w14:paraId="4D923DC8">
            <w:pPr>
              <w:widowControl/>
              <w:numPr>
                <w:ilvl w:val="0"/>
                <w:numId w:val="0"/>
              </w:numPr>
              <w:snapToGrid w:val="0"/>
              <w:spacing w:line="240" w:lineRule="auto"/>
              <w:ind w:left="0" w:leftChars="0" w:right="0" w:rightChars="0" w:firstLine="0" w:firstLineChars="0"/>
              <w:jc w:val="center"/>
              <w:rPr>
                <w:rFonts w:hint="eastAsia" w:ascii="Times New Roman" w:hAnsi="Times New Roman" w:eastAsia="宋体"/>
                <w:b/>
                <w:sz w:val="22"/>
                <w:szCs w:val="22"/>
                <w:vertAlign w:val="baseline"/>
              </w:rPr>
            </w:pPr>
            <w:r>
              <w:rPr>
                <w:rFonts w:hint="eastAsia" w:ascii="Times New Roman" w:hAnsi="Times New Roman" w:eastAsia="宋体"/>
                <w:color w:val="000000" w:themeColor="text1"/>
                <w:sz w:val="22"/>
                <w:szCs w:val="22"/>
                <w14:textFill>
                  <w14:solidFill>
                    <w14:schemeClr w14:val="tx1"/>
                  </w14:solidFill>
                </w14:textFill>
              </w:rPr>
              <w:t>发明专利</w:t>
            </w:r>
          </w:p>
        </w:tc>
        <w:tc>
          <w:tcPr>
            <w:tcW w:w="6817" w:type="dxa"/>
            <w:vAlign w:val="center"/>
          </w:tcPr>
          <w:p w14:paraId="5071C17E">
            <w:pPr>
              <w:widowControl/>
              <w:numPr>
                <w:ilvl w:val="0"/>
                <w:numId w:val="0"/>
              </w:numPr>
              <w:snapToGrid w:val="0"/>
              <w:spacing w:line="240" w:lineRule="auto"/>
              <w:ind w:left="0" w:leftChars="0" w:right="0" w:rightChars="0" w:firstLine="0" w:firstLineChars="0"/>
              <w:jc w:val="left"/>
              <w:rPr>
                <w:rFonts w:hint="eastAsia" w:ascii="Times New Roman" w:hAnsi="Times New Roman" w:eastAsia="宋体"/>
                <w:b/>
                <w:sz w:val="22"/>
                <w:szCs w:val="22"/>
                <w:vertAlign w:val="baseline"/>
              </w:rPr>
            </w:pPr>
            <w:r>
              <w:rPr>
                <w:rFonts w:hint="eastAsia" w:ascii="Times New Roman" w:hAnsi="Times New Roman" w:eastAsia="宋体"/>
                <w:color w:val="000000" w:themeColor="text1"/>
                <w:sz w:val="22"/>
                <w:szCs w:val="22"/>
                <w14:textFill>
                  <w14:solidFill>
                    <w14:schemeClr w14:val="tx1"/>
                  </w14:solidFill>
                </w14:textFill>
              </w:rPr>
              <w:t>南京航空航天大学.一种村镇空间形态与格局演变识别方法:202210571761.7[P].2024-12-17.</w:t>
            </w:r>
          </w:p>
        </w:tc>
      </w:tr>
      <w:tr w14:paraId="586B8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705" w:type="dxa"/>
            <w:vAlign w:val="center"/>
          </w:tcPr>
          <w:p w14:paraId="48EBCCE9">
            <w:pPr>
              <w:widowControl/>
              <w:numPr>
                <w:ilvl w:val="0"/>
                <w:numId w:val="0"/>
              </w:numPr>
              <w:snapToGrid w:val="0"/>
              <w:spacing w:line="240" w:lineRule="auto"/>
              <w:ind w:left="0" w:leftChars="0" w:right="0" w:rightChars="0" w:firstLine="0" w:firstLineChars="0"/>
              <w:jc w:val="center"/>
              <w:rPr>
                <w:rFonts w:hint="eastAsia" w:ascii="Times New Roman" w:hAnsi="Times New Roman" w:eastAsia="宋体"/>
                <w:b/>
                <w:sz w:val="22"/>
                <w:szCs w:val="22"/>
                <w:vertAlign w:val="baseline"/>
              </w:rPr>
            </w:pPr>
            <w:r>
              <w:rPr>
                <w:rFonts w:hint="eastAsia" w:ascii="Times New Roman" w:hAnsi="Times New Roman" w:eastAsia="宋体"/>
                <w:color w:val="000000" w:themeColor="text1"/>
                <w:sz w:val="22"/>
                <w:szCs w:val="22"/>
                <w14:textFill>
                  <w14:solidFill>
                    <w14:schemeClr w14:val="tx1"/>
                  </w14:solidFill>
                </w14:textFill>
              </w:rPr>
              <w:t>发明专利</w:t>
            </w:r>
          </w:p>
        </w:tc>
        <w:tc>
          <w:tcPr>
            <w:tcW w:w="6817" w:type="dxa"/>
            <w:vAlign w:val="center"/>
          </w:tcPr>
          <w:p w14:paraId="2C08E389">
            <w:pPr>
              <w:widowControl/>
              <w:numPr>
                <w:ilvl w:val="0"/>
                <w:numId w:val="0"/>
              </w:numPr>
              <w:snapToGrid w:val="0"/>
              <w:spacing w:line="240" w:lineRule="auto"/>
              <w:ind w:left="0" w:leftChars="0" w:right="0" w:rightChars="0" w:firstLine="0" w:firstLineChars="0"/>
              <w:jc w:val="left"/>
              <w:rPr>
                <w:rFonts w:hint="eastAsia" w:ascii="Times New Roman" w:hAnsi="Times New Roman" w:eastAsia="宋体"/>
                <w:b/>
                <w:sz w:val="22"/>
                <w:szCs w:val="22"/>
                <w:vertAlign w:val="baseline"/>
              </w:rPr>
            </w:pPr>
            <w:r>
              <w:rPr>
                <w:rFonts w:hint="eastAsia" w:ascii="Times New Roman" w:hAnsi="Times New Roman" w:eastAsia="宋体"/>
                <w:color w:val="000000" w:themeColor="text1"/>
                <w:sz w:val="22"/>
                <w:szCs w:val="22"/>
                <w14:textFill>
                  <w14:solidFill>
                    <w14:schemeClr w14:val="tx1"/>
                  </w14:solidFill>
                </w14:textFill>
              </w:rPr>
              <w:t>南京航空航天大学.基于改进神经网络算法的建设用地面积预测方法:202011397119.9[P].2024-03-22.</w:t>
            </w:r>
          </w:p>
        </w:tc>
      </w:tr>
      <w:tr w14:paraId="6449F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705" w:type="dxa"/>
            <w:vAlign w:val="center"/>
          </w:tcPr>
          <w:p w14:paraId="230A68AF">
            <w:pPr>
              <w:widowControl/>
              <w:numPr>
                <w:ilvl w:val="0"/>
                <w:numId w:val="0"/>
              </w:numPr>
              <w:snapToGrid w:val="0"/>
              <w:spacing w:line="240" w:lineRule="auto"/>
              <w:ind w:left="0" w:leftChars="0" w:right="0" w:rightChars="0" w:firstLine="0" w:firstLineChars="0"/>
              <w:jc w:val="center"/>
              <w:rPr>
                <w:rFonts w:hint="eastAsia" w:ascii="Times New Roman" w:hAnsi="Times New Roman" w:eastAsia="宋体"/>
                <w:b/>
                <w:sz w:val="22"/>
                <w:szCs w:val="22"/>
                <w:vertAlign w:val="baseline"/>
              </w:rPr>
            </w:pPr>
            <w:r>
              <w:rPr>
                <w:rFonts w:hint="eastAsia" w:ascii="Times New Roman" w:hAnsi="Times New Roman" w:eastAsia="宋体"/>
                <w:color w:val="000000" w:themeColor="text1"/>
                <w:sz w:val="22"/>
                <w:szCs w:val="22"/>
                <w14:textFill>
                  <w14:solidFill>
                    <w14:schemeClr w14:val="tx1"/>
                  </w14:solidFill>
                </w14:textFill>
              </w:rPr>
              <w:t>发明专利</w:t>
            </w:r>
          </w:p>
        </w:tc>
        <w:tc>
          <w:tcPr>
            <w:tcW w:w="6817" w:type="dxa"/>
            <w:vAlign w:val="center"/>
          </w:tcPr>
          <w:p w14:paraId="0A529A98">
            <w:pPr>
              <w:widowControl/>
              <w:numPr>
                <w:ilvl w:val="0"/>
                <w:numId w:val="0"/>
              </w:numPr>
              <w:snapToGrid w:val="0"/>
              <w:spacing w:line="240" w:lineRule="auto"/>
              <w:ind w:left="0" w:leftChars="0" w:right="0" w:rightChars="0" w:firstLine="0" w:firstLineChars="0"/>
              <w:jc w:val="left"/>
              <w:rPr>
                <w:rFonts w:hint="eastAsia" w:ascii="Times New Roman" w:hAnsi="Times New Roman" w:eastAsia="宋体"/>
                <w:b/>
                <w:sz w:val="22"/>
                <w:szCs w:val="22"/>
                <w:vertAlign w:val="baseline"/>
              </w:rPr>
            </w:pPr>
            <w:r>
              <w:rPr>
                <w:rFonts w:hint="eastAsia" w:ascii="Times New Roman" w:hAnsi="Times New Roman" w:eastAsia="宋体"/>
                <w:color w:val="000000" w:themeColor="text1"/>
                <w:sz w:val="22"/>
                <w:szCs w:val="22"/>
                <w14:textFill>
                  <w14:solidFill>
                    <w14:schemeClr w14:val="tx1"/>
                  </w14:solidFill>
                </w14:textFill>
              </w:rPr>
              <w:t>南京航空航天大学.一种运用神经网络算法确定建设用地面积影响因素权重值的方法:202011431551.5[P].2023-09-15.</w:t>
            </w:r>
          </w:p>
        </w:tc>
      </w:tr>
      <w:tr w14:paraId="4B626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705" w:type="dxa"/>
            <w:vAlign w:val="center"/>
          </w:tcPr>
          <w:p w14:paraId="05F11EF2">
            <w:pPr>
              <w:widowControl/>
              <w:numPr>
                <w:ilvl w:val="0"/>
                <w:numId w:val="0"/>
              </w:numPr>
              <w:snapToGrid w:val="0"/>
              <w:spacing w:line="240" w:lineRule="auto"/>
              <w:ind w:left="0" w:leftChars="0" w:right="0" w:rightChars="0" w:firstLine="0" w:firstLineChars="0"/>
              <w:jc w:val="center"/>
              <w:rPr>
                <w:rFonts w:hint="eastAsia" w:ascii="Times New Roman" w:hAnsi="Times New Roman" w:eastAsia="宋体"/>
                <w:b/>
                <w:sz w:val="22"/>
                <w:szCs w:val="22"/>
                <w:vertAlign w:val="baseline"/>
              </w:rPr>
            </w:pPr>
            <w:r>
              <w:rPr>
                <w:rFonts w:hint="eastAsia" w:ascii="Times New Roman" w:hAnsi="Times New Roman" w:eastAsia="宋体"/>
                <w:color w:val="000000" w:themeColor="text1"/>
                <w:sz w:val="22"/>
                <w:szCs w:val="22"/>
                <w14:textFill>
                  <w14:solidFill>
                    <w14:schemeClr w14:val="tx1"/>
                  </w14:solidFill>
                </w14:textFill>
              </w:rPr>
              <w:t>发明专利</w:t>
            </w:r>
          </w:p>
        </w:tc>
        <w:tc>
          <w:tcPr>
            <w:tcW w:w="6817" w:type="dxa"/>
            <w:vAlign w:val="center"/>
          </w:tcPr>
          <w:p w14:paraId="71AA4FF0">
            <w:pPr>
              <w:widowControl/>
              <w:numPr>
                <w:ilvl w:val="0"/>
                <w:numId w:val="0"/>
              </w:numPr>
              <w:snapToGrid w:val="0"/>
              <w:spacing w:line="240" w:lineRule="auto"/>
              <w:ind w:left="0" w:leftChars="0" w:right="0" w:rightChars="0" w:firstLine="0" w:firstLineChars="0"/>
              <w:jc w:val="left"/>
              <w:rPr>
                <w:rFonts w:hint="eastAsia" w:ascii="Times New Roman" w:hAnsi="Times New Roman" w:eastAsia="宋体"/>
                <w:b/>
                <w:sz w:val="22"/>
                <w:szCs w:val="22"/>
                <w:vertAlign w:val="baseline"/>
              </w:rPr>
            </w:pPr>
            <w:r>
              <w:rPr>
                <w:rFonts w:hint="eastAsia" w:ascii="Times New Roman" w:hAnsi="Times New Roman" w:eastAsia="宋体"/>
                <w:color w:val="000000" w:themeColor="text1"/>
                <w:sz w:val="22"/>
                <w:szCs w:val="22"/>
                <w14:textFill>
                  <w14:solidFill>
                    <w14:schemeClr w14:val="tx1"/>
                  </w14:solidFill>
                </w14:textFill>
              </w:rPr>
              <w:t>西南大学.村镇建设用地扩展后的生态效应评价方法:202111416966.X[P].2024-08-09.</w:t>
            </w:r>
          </w:p>
        </w:tc>
      </w:tr>
      <w:tr w14:paraId="7F8A7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705" w:type="dxa"/>
            <w:vAlign w:val="center"/>
          </w:tcPr>
          <w:p w14:paraId="3E11AFEC">
            <w:pPr>
              <w:widowControl/>
              <w:numPr>
                <w:ilvl w:val="0"/>
                <w:numId w:val="0"/>
              </w:numPr>
              <w:snapToGrid w:val="0"/>
              <w:spacing w:line="240" w:lineRule="auto"/>
              <w:ind w:left="0" w:leftChars="0" w:right="0" w:rightChars="0" w:firstLine="0" w:firstLineChars="0"/>
              <w:jc w:val="center"/>
              <w:rPr>
                <w:rFonts w:hint="eastAsia" w:ascii="Times New Roman" w:hAnsi="Times New Roman" w:eastAsia="宋体"/>
                <w:color w:val="000000" w:themeColor="text1"/>
                <w:sz w:val="22"/>
                <w:szCs w:val="22"/>
                <w14:textFill>
                  <w14:solidFill>
                    <w14:schemeClr w14:val="tx1"/>
                  </w14:solidFill>
                </w14:textFill>
              </w:rPr>
            </w:pPr>
            <w:r>
              <w:rPr>
                <w:rFonts w:hint="eastAsia" w:ascii="Times New Roman" w:hAnsi="Times New Roman" w:eastAsia="宋体"/>
                <w:color w:val="000000" w:themeColor="text1"/>
                <w:sz w:val="22"/>
                <w:szCs w:val="22"/>
                <w14:textFill>
                  <w14:solidFill>
                    <w14:schemeClr w14:val="tx1"/>
                  </w14:solidFill>
                </w14:textFill>
              </w:rPr>
              <w:t>发明专利</w:t>
            </w:r>
          </w:p>
        </w:tc>
        <w:tc>
          <w:tcPr>
            <w:tcW w:w="6817" w:type="dxa"/>
            <w:vAlign w:val="center"/>
          </w:tcPr>
          <w:p w14:paraId="0EABEC18">
            <w:pPr>
              <w:widowControl/>
              <w:numPr>
                <w:ilvl w:val="0"/>
                <w:numId w:val="0"/>
              </w:numPr>
              <w:snapToGrid w:val="0"/>
              <w:spacing w:line="240" w:lineRule="auto"/>
              <w:ind w:left="0" w:leftChars="0" w:right="0" w:rightChars="0" w:firstLine="0" w:firstLineChars="0"/>
              <w:jc w:val="left"/>
              <w:rPr>
                <w:rFonts w:hint="eastAsia" w:ascii="Times New Roman" w:hAnsi="Times New Roman" w:eastAsia="宋体"/>
                <w:color w:val="000000" w:themeColor="text1"/>
                <w:sz w:val="22"/>
                <w:szCs w:val="22"/>
                <w14:textFill>
                  <w14:solidFill>
                    <w14:schemeClr w14:val="tx1"/>
                  </w14:solidFill>
                </w14:textFill>
              </w:rPr>
            </w:pPr>
            <w:r>
              <w:rPr>
                <w:rFonts w:hint="eastAsia" w:ascii="Times New Roman" w:hAnsi="Times New Roman" w:eastAsia="宋体"/>
                <w:color w:val="000000" w:themeColor="text1"/>
                <w:sz w:val="22"/>
                <w:szCs w:val="22"/>
                <w14:textFill>
                  <w14:solidFill>
                    <w14:schemeClr w14:val="tx1"/>
                  </w14:solidFill>
                </w14:textFill>
              </w:rPr>
              <w:t>重庆大学.公交网络拓扑属性与空间属性的分析方法:201810474239.0[P].2020-06-26.</w:t>
            </w:r>
          </w:p>
        </w:tc>
      </w:tr>
      <w:tr w14:paraId="50A1F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705" w:type="dxa"/>
            <w:vAlign w:val="center"/>
          </w:tcPr>
          <w:p w14:paraId="292CAE58">
            <w:pPr>
              <w:widowControl/>
              <w:numPr>
                <w:ilvl w:val="0"/>
                <w:numId w:val="0"/>
              </w:numPr>
              <w:snapToGrid w:val="0"/>
              <w:spacing w:line="240" w:lineRule="auto"/>
              <w:ind w:left="0" w:leftChars="0" w:right="0" w:rightChars="0" w:firstLine="0" w:firstLineChars="0"/>
              <w:jc w:val="center"/>
              <w:rPr>
                <w:rFonts w:hint="eastAsia" w:ascii="Times New Roman" w:hAnsi="Times New Roman" w:eastAsia="宋体"/>
                <w:color w:val="000000" w:themeColor="text1"/>
                <w:sz w:val="22"/>
                <w:szCs w:val="22"/>
                <w14:textFill>
                  <w14:solidFill>
                    <w14:schemeClr w14:val="tx1"/>
                  </w14:solidFill>
                </w14:textFill>
              </w:rPr>
            </w:pPr>
            <w:r>
              <w:rPr>
                <w:rFonts w:hint="eastAsia" w:ascii="Times New Roman" w:hAnsi="Times New Roman" w:eastAsia="宋体"/>
                <w:color w:val="000000" w:themeColor="text1"/>
                <w:sz w:val="22"/>
                <w:szCs w:val="22"/>
                <w14:textFill>
                  <w14:solidFill>
                    <w14:schemeClr w14:val="tx1"/>
                  </w14:solidFill>
                </w14:textFill>
              </w:rPr>
              <w:t>发明专利</w:t>
            </w:r>
          </w:p>
        </w:tc>
        <w:tc>
          <w:tcPr>
            <w:tcW w:w="6817" w:type="dxa"/>
            <w:vAlign w:val="center"/>
          </w:tcPr>
          <w:p w14:paraId="1D94A3D2">
            <w:pPr>
              <w:widowControl/>
              <w:numPr>
                <w:ilvl w:val="0"/>
                <w:numId w:val="0"/>
              </w:numPr>
              <w:snapToGrid w:val="0"/>
              <w:spacing w:line="240" w:lineRule="auto"/>
              <w:ind w:left="0" w:leftChars="0" w:right="0" w:rightChars="0" w:firstLine="0" w:firstLineChars="0"/>
              <w:jc w:val="left"/>
              <w:rPr>
                <w:rFonts w:hint="eastAsia" w:ascii="Times New Roman" w:hAnsi="Times New Roman" w:eastAsia="宋体"/>
                <w:color w:val="000000" w:themeColor="text1"/>
                <w:sz w:val="22"/>
                <w:szCs w:val="22"/>
                <w14:textFill>
                  <w14:solidFill>
                    <w14:schemeClr w14:val="tx1"/>
                  </w14:solidFill>
                </w14:textFill>
              </w:rPr>
            </w:pPr>
            <w:r>
              <w:rPr>
                <w:rFonts w:hint="eastAsia" w:ascii="Times New Roman" w:hAnsi="Times New Roman" w:eastAsia="宋体"/>
                <w:color w:val="000000" w:themeColor="text1"/>
                <w:sz w:val="22"/>
                <w:szCs w:val="22"/>
                <w14:textFill>
                  <w14:solidFill>
                    <w14:schemeClr w14:val="tx1"/>
                  </w14:solidFill>
                </w14:textFill>
              </w:rPr>
              <w:t>重庆大学.一种道路网络可靠性评估方法、系统、终端及介质:201811591829.8[P].2023-05-12.</w:t>
            </w:r>
          </w:p>
        </w:tc>
      </w:tr>
      <w:tr w14:paraId="2135A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705" w:type="dxa"/>
            <w:vAlign w:val="center"/>
          </w:tcPr>
          <w:p w14:paraId="701614BF">
            <w:pPr>
              <w:widowControl/>
              <w:numPr>
                <w:ilvl w:val="0"/>
                <w:numId w:val="0"/>
              </w:numPr>
              <w:snapToGrid w:val="0"/>
              <w:spacing w:line="240" w:lineRule="auto"/>
              <w:ind w:left="0" w:leftChars="0" w:right="0" w:rightChars="0" w:firstLine="0" w:firstLineChars="0"/>
              <w:jc w:val="center"/>
              <w:rPr>
                <w:rFonts w:hint="eastAsia" w:ascii="Times New Roman" w:hAnsi="Times New Roman" w:eastAsia="宋体"/>
                <w:color w:val="000000" w:themeColor="text1"/>
                <w:sz w:val="22"/>
                <w:szCs w:val="22"/>
                <w14:textFill>
                  <w14:solidFill>
                    <w14:schemeClr w14:val="tx1"/>
                  </w14:solidFill>
                </w14:textFill>
              </w:rPr>
            </w:pPr>
            <w:r>
              <w:rPr>
                <w:rFonts w:hint="eastAsia" w:ascii="Times New Roman" w:hAnsi="Times New Roman" w:eastAsia="宋体"/>
                <w:color w:val="000000" w:themeColor="text1"/>
                <w:sz w:val="22"/>
                <w:szCs w:val="22"/>
                <w14:textFill>
                  <w14:solidFill>
                    <w14:schemeClr w14:val="tx1"/>
                  </w14:solidFill>
                </w14:textFill>
              </w:rPr>
              <w:t>发明专利</w:t>
            </w:r>
          </w:p>
        </w:tc>
        <w:tc>
          <w:tcPr>
            <w:tcW w:w="6817" w:type="dxa"/>
            <w:vAlign w:val="center"/>
          </w:tcPr>
          <w:p w14:paraId="2F6333D3">
            <w:pPr>
              <w:widowControl/>
              <w:numPr>
                <w:ilvl w:val="0"/>
                <w:numId w:val="0"/>
              </w:numPr>
              <w:snapToGrid w:val="0"/>
              <w:spacing w:line="240" w:lineRule="auto"/>
              <w:ind w:left="0" w:leftChars="0" w:right="0" w:rightChars="0" w:firstLine="0" w:firstLineChars="0"/>
              <w:jc w:val="left"/>
              <w:rPr>
                <w:rFonts w:hint="eastAsia" w:ascii="Times New Roman" w:hAnsi="Times New Roman" w:eastAsia="宋体"/>
                <w:color w:val="000000" w:themeColor="text1"/>
                <w:sz w:val="22"/>
                <w:szCs w:val="22"/>
                <w14:textFill>
                  <w14:solidFill>
                    <w14:schemeClr w14:val="tx1"/>
                  </w14:solidFill>
                </w14:textFill>
              </w:rPr>
            </w:pPr>
            <w:r>
              <w:rPr>
                <w:rFonts w:hint="eastAsia" w:ascii="Times New Roman" w:hAnsi="Times New Roman" w:eastAsia="宋体"/>
                <w:color w:val="000000" w:themeColor="text1"/>
                <w:sz w:val="22"/>
                <w:szCs w:val="22"/>
                <w14:textFill>
                  <w14:solidFill>
                    <w14:schemeClr w14:val="tx1"/>
                  </w14:solidFill>
                </w14:textFill>
              </w:rPr>
              <w:t>重庆交通大学.用于农村产业的物流监测系统:202110726418.0[P].2024-02-20.</w:t>
            </w:r>
          </w:p>
        </w:tc>
      </w:tr>
    </w:tbl>
    <w:p w14:paraId="63E573A7">
      <w:pPr>
        <w:adjustRightInd w:val="0"/>
        <w:spacing w:line="312" w:lineRule="auto"/>
        <w:ind w:firstLine="562"/>
        <w:rPr>
          <w:rFonts w:ascii="Times New Roman" w:hAnsi="Times New Roman" w:eastAsia="宋体"/>
          <w:b/>
          <w:sz w:val="28"/>
          <w:szCs w:val="28"/>
        </w:rPr>
      </w:pPr>
      <w:r>
        <w:rPr>
          <w:rFonts w:hint="eastAsia" w:ascii="Times New Roman" w:hAnsi="Times New Roman" w:eastAsia="宋体"/>
          <w:b/>
          <w:sz w:val="28"/>
          <w:szCs w:val="28"/>
        </w:rPr>
        <w:t>六</w:t>
      </w:r>
      <w:r>
        <w:rPr>
          <w:rFonts w:ascii="Times New Roman" w:hAnsi="Times New Roman" w:eastAsia="宋体"/>
          <w:b/>
          <w:sz w:val="28"/>
          <w:szCs w:val="28"/>
        </w:rPr>
        <w:t>、主要完成人</w:t>
      </w:r>
    </w:p>
    <w:p w14:paraId="7492BD9C">
      <w:pPr>
        <w:widowControl/>
        <w:spacing w:line="312" w:lineRule="auto"/>
        <w:ind w:firstLine="440" w:firstLineChars="200"/>
        <w:rPr>
          <w:rFonts w:ascii="Times New Roman" w:hAnsi="Times New Roman" w:eastAsia="宋体"/>
          <w:bCs/>
          <w:sz w:val="28"/>
          <w:szCs w:val="28"/>
        </w:rPr>
      </w:pPr>
      <w:r>
        <w:rPr>
          <w:rFonts w:hint="eastAsia" w:ascii="Times New Roman" w:hAnsi="Times New Roman" w:eastAsia="宋体"/>
          <w:szCs w:val="24"/>
        </w:rPr>
        <w:t>黄勇，杨瑛，王成，高磊，郭凯睿，陈倩婷，张志伟，刘畅，颜勤，万丹，谭亦高，冯盼盼，周亚州，王福海，李超</w:t>
      </w:r>
    </w:p>
    <w:p w14:paraId="3C80F1BF">
      <w:pPr>
        <w:adjustRightInd w:val="0"/>
        <w:spacing w:line="312" w:lineRule="auto"/>
        <w:ind w:firstLine="562"/>
        <w:rPr>
          <w:rFonts w:ascii="Times New Roman" w:hAnsi="Times New Roman" w:eastAsia="宋体"/>
          <w:b/>
          <w:sz w:val="24"/>
          <w:szCs w:val="24"/>
        </w:rPr>
      </w:pPr>
      <w:r>
        <w:rPr>
          <w:rFonts w:hint="eastAsia" w:ascii="Times New Roman" w:hAnsi="Times New Roman" w:eastAsia="宋体"/>
          <w:b/>
          <w:sz w:val="28"/>
          <w:szCs w:val="28"/>
        </w:rPr>
        <w:t>七、主要完成单位</w:t>
      </w:r>
    </w:p>
    <w:p w14:paraId="39C711C4">
      <w:pPr>
        <w:widowControl/>
        <w:spacing w:line="312" w:lineRule="auto"/>
        <w:ind w:firstLine="440" w:firstLineChars="200"/>
        <w:rPr>
          <w:rFonts w:hint="eastAsia" w:ascii="Times New Roman" w:hAnsi="Times New Roman" w:eastAsia="宋体"/>
          <w:szCs w:val="24"/>
          <w:lang w:eastAsia="zh-CN"/>
        </w:rPr>
      </w:pPr>
      <w:r>
        <w:rPr>
          <w:rFonts w:hint="eastAsia" w:ascii="Times New Roman" w:hAnsi="Times New Roman" w:eastAsia="宋体"/>
          <w:szCs w:val="24"/>
        </w:rPr>
        <w:t>重庆大学，中国建筑第五工程局有限公司，西南大学，南京航空航天大学，山东建筑大学，重庆交通大学，重庆建筑工程职业学院，重庆工商职业学院，重庆航图信息科技有限公司，</w:t>
      </w:r>
      <w:r>
        <w:rPr>
          <w:rFonts w:hint="eastAsia" w:ascii="Times New Roman" w:hAnsi="Times New Roman" w:eastAsia="宋体"/>
          <w:szCs w:val="24"/>
          <w:lang w:eastAsia="zh-CN"/>
        </w:rPr>
        <w:t>北京航天通泰科技有限公司</w:t>
      </w:r>
    </w:p>
    <w:p w14:paraId="25015CD4">
      <w:pPr>
        <w:widowControl/>
        <w:spacing w:line="312" w:lineRule="auto"/>
        <w:ind w:firstLine="560" w:firstLineChars="200"/>
        <w:rPr>
          <w:rFonts w:ascii="Times New Roman" w:hAnsi="Times New Roman" w:eastAsia="宋体"/>
          <w:bCs/>
          <w:sz w:val="28"/>
          <w:szCs w:val="28"/>
        </w:rPr>
      </w:pPr>
    </w:p>
    <w:p w14:paraId="38B782FE">
      <w:pPr>
        <w:spacing w:line="312" w:lineRule="auto"/>
        <w:rPr>
          <w:rFonts w:ascii="Times New Roman" w:hAnsi="Times New Roman" w:eastAsia="宋体"/>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522253"/>
    <w:multiLevelType w:val="singleLevel"/>
    <w:tmpl w:val="0B522253"/>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I0ODNlYjg2NjhkZmRlNmEwMjFlYWM2MTAxZGNlYWIifQ=="/>
  </w:docVars>
  <w:rsids>
    <w:rsidRoot w:val="00532B28"/>
    <w:rsid w:val="000871EF"/>
    <w:rsid w:val="002667DF"/>
    <w:rsid w:val="002A7EBD"/>
    <w:rsid w:val="003A681F"/>
    <w:rsid w:val="003E0BD1"/>
    <w:rsid w:val="0045583B"/>
    <w:rsid w:val="004D25F5"/>
    <w:rsid w:val="004E6216"/>
    <w:rsid w:val="005246B7"/>
    <w:rsid w:val="00532B28"/>
    <w:rsid w:val="0054147E"/>
    <w:rsid w:val="005C5C85"/>
    <w:rsid w:val="00690C04"/>
    <w:rsid w:val="006C2D81"/>
    <w:rsid w:val="006F279B"/>
    <w:rsid w:val="007057B0"/>
    <w:rsid w:val="00744974"/>
    <w:rsid w:val="00760B79"/>
    <w:rsid w:val="00837C5F"/>
    <w:rsid w:val="00873AD2"/>
    <w:rsid w:val="00A21478"/>
    <w:rsid w:val="00AD25AD"/>
    <w:rsid w:val="00AF00E3"/>
    <w:rsid w:val="00B96A0D"/>
    <w:rsid w:val="00BC7897"/>
    <w:rsid w:val="00C50760"/>
    <w:rsid w:val="00D11367"/>
    <w:rsid w:val="00D45321"/>
    <w:rsid w:val="00FD54DA"/>
    <w:rsid w:val="0ECB1C7E"/>
    <w:rsid w:val="103510F8"/>
    <w:rsid w:val="1DC167A1"/>
    <w:rsid w:val="2B7646CF"/>
    <w:rsid w:val="305F5A80"/>
    <w:rsid w:val="391963E5"/>
    <w:rsid w:val="3F491798"/>
    <w:rsid w:val="3F541221"/>
    <w:rsid w:val="43D77591"/>
    <w:rsid w:val="45C5024D"/>
    <w:rsid w:val="4B8464B4"/>
    <w:rsid w:val="5189019C"/>
    <w:rsid w:val="54260D9E"/>
    <w:rsid w:val="547D5954"/>
    <w:rsid w:val="54974DD6"/>
    <w:rsid w:val="56837A94"/>
    <w:rsid w:val="59B3717F"/>
    <w:rsid w:val="5D5C1689"/>
    <w:rsid w:val="64D616D7"/>
    <w:rsid w:val="651625F0"/>
    <w:rsid w:val="67F826C7"/>
    <w:rsid w:val="6C224A45"/>
    <w:rsid w:val="6CD63D34"/>
    <w:rsid w:val="776175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autoSpaceDE w:val="0"/>
      <w:autoSpaceDN w:val="0"/>
    </w:pPr>
    <w:rPr>
      <w:rFonts w:ascii="宋体" w:hAnsi="宋体" w:eastAsia="宋体" w:cs="宋体"/>
      <w:sz w:val="22"/>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1"/>
    <w:qFormat/>
    <w:uiPriority w:val="0"/>
    <w:pPr>
      <w:tabs>
        <w:tab w:val="center" w:pos="4153"/>
        <w:tab w:val="right" w:pos="8306"/>
      </w:tabs>
      <w:snapToGrid w:val="0"/>
    </w:pPr>
    <w:rPr>
      <w:sz w:val="18"/>
      <w:szCs w:val="18"/>
    </w:rPr>
  </w:style>
  <w:style w:type="paragraph" w:styleId="3">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7">
    <w:name w:val="List Paragraph"/>
    <w:basedOn w:val="1"/>
    <w:autoRedefine/>
    <w:qFormat/>
    <w:uiPriority w:val="34"/>
    <w:pPr>
      <w:ind w:firstLine="420" w:firstLineChars="200"/>
    </w:pPr>
  </w:style>
  <w:style w:type="paragraph" w:customStyle="1" w:styleId="8">
    <w:name w:val="图表内容"/>
    <w:basedOn w:val="1"/>
    <w:link w:val="9"/>
    <w:qFormat/>
    <w:uiPriority w:val="0"/>
    <w:pPr>
      <w:autoSpaceDE/>
      <w:autoSpaceDN/>
      <w:jc w:val="center"/>
    </w:pPr>
    <w:rPr>
      <w:rFonts w:cs="Times New Roman"/>
      <w:kern w:val="2"/>
      <w:sz w:val="18"/>
      <w:szCs w:val="20"/>
    </w:rPr>
  </w:style>
  <w:style w:type="character" w:customStyle="1" w:styleId="9">
    <w:name w:val="图表内容 字符"/>
    <w:basedOn w:val="6"/>
    <w:link w:val="8"/>
    <w:qFormat/>
    <w:uiPriority w:val="0"/>
    <w:rPr>
      <w:rFonts w:ascii="宋体" w:hAnsi="宋体" w:eastAsia="宋体" w:cs="Times New Roman"/>
      <w:kern w:val="2"/>
      <w:sz w:val="18"/>
    </w:rPr>
  </w:style>
  <w:style w:type="character" w:customStyle="1" w:styleId="10">
    <w:name w:val="页眉 字符"/>
    <w:basedOn w:val="6"/>
    <w:link w:val="3"/>
    <w:qFormat/>
    <w:uiPriority w:val="0"/>
    <w:rPr>
      <w:rFonts w:ascii="宋体" w:hAnsi="宋体" w:eastAsia="宋体" w:cs="宋体"/>
      <w:sz w:val="18"/>
      <w:szCs w:val="18"/>
    </w:rPr>
  </w:style>
  <w:style w:type="character" w:customStyle="1" w:styleId="11">
    <w:name w:val="页脚 字符"/>
    <w:basedOn w:val="6"/>
    <w:link w:val="2"/>
    <w:qFormat/>
    <w:uiPriority w:val="0"/>
    <w:rPr>
      <w:rFonts w:ascii="宋体" w:hAnsi="宋体" w:eastAsia="宋体" w:cs="宋体"/>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1487</Words>
  <Characters>1799</Characters>
  <Lines>14</Lines>
  <Paragraphs>4</Paragraphs>
  <TotalTime>6</TotalTime>
  <ScaleCrop>false</ScaleCrop>
  <LinksUpToDate>false</LinksUpToDate>
  <CharactersWithSpaces>1799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2024-02-03T01:46:00Z</dcterms:created>
  <dc:creator>admin</dc:creator>
  <cp:lastModifiedBy>懋懋陈大树</cp:lastModifiedBy>
  <dcterms:modified xsi:type="dcterms:W3CDTF">2026-01-29T08:34:44Z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1637B02CA1B24BD58DA1788189DE9AC7_13</vt:lpwstr>
  </property>
  <property fmtid="{D5CDD505-2E9C-101B-9397-08002B2CF9AE}" pid="4" name="KSOTemplateDocerSaveRecord">
    <vt:lpwstr>eyJoZGlkIjoiMDM3ZmZhNWU2ZTZiNDUwZTIzZmZiNWI5OTFjMDUwZmMiLCJ1c2VySWQiOiIzMDI3MTI5NDYifQ==</vt:lpwstr>
  </property>
</Properties>
</file>