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ind w:firstLine="643"/>
        <w:jc w:val="center"/>
        <w:rPr>
          <w:rFonts w:ascii="Times New Roman" w:hAnsi="Times New Roman" w:eastAsia="宋体"/>
          <w:b/>
          <w:bCs/>
          <w:sz w:val="32"/>
          <w:szCs w:val="32"/>
        </w:rPr>
      </w:pPr>
      <w:r>
        <w:rPr>
          <w:rFonts w:hint="eastAsia" w:ascii="Times New Roman" w:hAnsi="Times New Roman" w:eastAsia="宋体"/>
          <w:b/>
          <w:bCs/>
          <w:sz w:val="32"/>
          <w:szCs w:val="32"/>
        </w:rPr>
        <w:t>拟提名</w:t>
      </w:r>
      <w:bookmarkStart w:id="0" w:name="_GoBack"/>
      <w:r>
        <w:rPr>
          <w:rFonts w:hint="eastAsia" w:ascii="Times New Roman" w:hAnsi="Times New Roman" w:eastAsia="宋体"/>
          <w:b/>
          <w:bCs/>
          <w:sz w:val="32"/>
          <w:szCs w:val="32"/>
        </w:rPr>
        <w:t>2026年度华夏建设科学技术奖</w:t>
      </w:r>
      <w:r>
        <w:rPr>
          <w:rFonts w:ascii="Times New Roman" w:hAnsi="Times New Roman" w:eastAsia="宋体"/>
          <w:b/>
          <w:bCs/>
          <w:sz w:val="32"/>
          <w:szCs w:val="32"/>
        </w:rPr>
        <w:t>项目公示</w:t>
      </w:r>
      <w:bookmarkEnd w:id="0"/>
      <w:r>
        <w:rPr>
          <w:rFonts w:ascii="Times New Roman" w:hAnsi="Times New Roman" w:eastAsia="宋体"/>
          <w:b/>
          <w:bCs/>
          <w:sz w:val="32"/>
          <w:szCs w:val="32"/>
        </w:rPr>
        <w:t>内容</w:t>
      </w:r>
    </w:p>
    <w:p>
      <w:pPr>
        <w:spacing w:line="312" w:lineRule="auto"/>
        <w:ind w:firstLine="562"/>
        <w:rPr>
          <w:rFonts w:ascii="Times New Roman" w:hAnsi="Times New Roman" w:eastAsia="宋体"/>
          <w:sz w:val="28"/>
          <w:szCs w:val="28"/>
        </w:rPr>
      </w:pPr>
      <w:r>
        <w:rPr>
          <w:rFonts w:ascii="Times New Roman" w:hAnsi="Times New Roman" w:eastAsia="宋体"/>
          <w:b/>
          <w:sz w:val="28"/>
          <w:szCs w:val="28"/>
        </w:rPr>
        <w:t>一</w:t>
      </w:r>
      <w:r>
        <w:rPr>
          <w:rFonts w:hint="eastAsia" w:ascii="Times New Roman" w:hAnsi="Times New Roman" w:eastAsia="宋体"/>
          <w:b/>
          <w:sz w:val="28"/>
          <w:szCs w:val="28"/>
        </w:rPr>
        <w:t>、</w:t>
      </w:r>
      <w:r>
        <w:rPr>
          <w:rFonts w:ascii="Times New Roman" w:hAnsi="Times New Roman" w:eastAsia="宋体"/>
          <w:b/>
          <w:sz w:val="28"/>
          <w:szCs w:val="28"/>
        </w:rPr>
        <w:t>项目名称</w:t>
      </w:r>
    </w:p>
    <w:p>
      <w:pPr>
        <w:spacing w:line="312" w:lineRule="auto"/>
        <w:ind w:firstLine="440" w:firstLineChars="200"/>
        <w:rPr>
          <w:rFonts w:ascii="Times New Roman" w:hAnsi="Times New Roman" w:eastAsia="宋体"/>
          <w:szCs w:val="24"/>
        </w:rPr>
      </w:pPr>
      <w:r>
        <w:rPr>
          <w:rFonts w:hint="eastAsia" w:ascii="Times New Roman" w:hAnsi="Times New Roman" w:eastAsia="宋体"/>
          <w:szCs w:val="24"/>
        </w:rPr>
        <w:t>山地乡村人居空间环境更新关键技术及应用</w:t>
      </w:r>
    </w:p>
    <w:p>
      <w:pPr>
        <w:numPr>
          <w:ilvl w:val="0"/>
          <w:numId w:val="1"/>
        </w:numPr>
        <w:spacing w:line="312" w:lineRule="auto"/>
        <w:ind w:firstLine="562"/>
        <w:rPr>
          <w:rFonts w:ascii="Times New Roman" w:hAnsi="Times New Roman" w:eastAsia="宋体"/>
          <w:b/>
          <w:sz w:val="28"/>
          <w:szCs w:val="28"/>
        </w:rPr>
      </w:pPr>
      <w:r>
        <w:rPr>
          <w:rFonts w:hint="eastAsia" w:ascii="Times New Roman" w:hAnsi="Times New Roman" w:eastAsia="宋体"/>
          <w:b/>
          <w:sz w:val="28"/>
          <w:szCs w:val="28"/>
        </w:rPr>
        <w:t>提名者</w:t>
      </w:r>
    </w:p>
    <w:p>
      <w:pPr>
        <w:spacing w:line="312" w:lineRule="auto"/>
        <w:ind w:firstLine="440" w:firstLineChars="200"/>
        <w:rPr>
          <w:rFonts w:hint="eastAsia" w:ascii="Times New Roman" w:hAnsi="Times New Roman" w:eastAsia="宋体"/>
          <w:bCs/>
          <w:sz w:val="28"/>
          <w:szCs w:val="28"/>
          <w:lang w:eastAsia="zh-CN"/>
        </w:rPr>
      </w:pPr>
      <w:r>
        <w:rPr>
          <w:rFonts w:hint="eastAsia" w:ascii="Times New Roman" w:hAnsi="Times New Roman" w:eastAsia="宋体"/>
          <w:szCs w:val="24"/>
        </w:rPr>
        <w:t>重庆</w:t>
      </w:r>
      <w:r>
        <w:rPr>
          <w:rFonts w:hint="eastAsia" w:ascii="Times New Roman" w:hAnsi="Times New Roman"/>
          <w:szCs w:val="24"/>
          <w:lang w:val="en-US" w:eastAsia="zh-CN"/>
        </w:rPr>
        <w:t>大学</w:t>
      </w:r>
    </w:p>
    <w:p>
      <w:pPr>
        <w:numPr>
          <w:ilvl w:val="0"/>
          <w:numId w:val="1"/>
        </w:numPr>
        <w:spacing w:line="312" w:lineRule="auto"/>
        <w:ind w:firstLine="562"/>
        <w:rPr>
          <w:rFonts w:ascii="Times New Roman" w:hAnsi="Times New Roman" w:eastAsia="宋体"/>
          <w:b/>
          <w:sz w:val="28"/>
          <w:szCs w:val="28"/>
        </w:rPr>
      </w:pPr>
      <w:r>
        <w:rPr>
          <w:rFonts w:hint="eastAsia" w:ascii="Times New Roman" w:hAnsi="Times New Roman" w:eastAsia="宋体"/>
          <w:b/>
          <w:sz w:val="28"/>
          <w:szCs w:val="28"/>
        </w:rPr>
        <w:t>提名等级</w:t>
      </w:r>
    </w:p>
    <w:p>
      <w:pPr>
        <w:spacing w:line="312" w:lineRule="auto"/>
        <w:ind w:firstLine="440" w:firstLineChars="200"/>
        <w:rPr>
          <w:rFonts w:ascii="Times New Roman" w:hAnsi="Times New Roman" w:eastAsia="宋体"/>
          <w:szCs w:val="24"/>
        </w:rPr>
      </w:pPr>
      <w:r>
        <w:rPr>
          <w:rFonts w:hint="eastAsia" w:ascii="Times New Roman" w:hAnsi="Times New Roman" w:eastAsia="宋体"/>
          <w:szCs w:val="24"/>
          <w:lang w:val="en-US" w:eastAsia="zh-CN"/>
        </w:rPr>
        <w:t>一</w:t>
      </w:r>
      <w:r>
        <w:rPr>
          <w:rFonts w:hint="eastAsia" w:ascii="Times New Roman" w:hAnsi="Times New Roman" w:eastAsia="宋体"/>
          <w:szCs w:val="24"/>
        </w:rPr>
        <w:t>等奖</w:t>
      </w:r>
    </w:p>
    <w:p>
      <w:pPr>
        <w:widowControl/>
        <w:numPr>
          <w:ilvl w:val="0"/>
          <w:numId w:val="1"/>
        </w:numPr>
        <w:spacing w:line="312" w:lineRule="auto"/>
        <w:ind w:firstLine="562"/>
        <w:rPr>
          <w:rFonts w:ascii="Times New Roman" w:hAnsi="Times New Roman" w:eastAsia="宋体"/>
          <w:b/>
          <w:sz w:val="28"/>
          <w:szCs w:val="28"/>
        </w:rPr>
      </w:pPr>
      <w:r>
        <w:rPr>
          <w:rFonts w:ascii="Times New Roman" w:hAnsi="Times New Roman" w:eastAsia="宋体"/>
          <w:b/>
          <w:sz w:val="28"/>
          <w:szCs w:val="28"/>
        </w:rPr>
        <w:t>项目简介</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项目属城乡建设技术组村镇建设技术领域。</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乡村人居环境是乡村振兴、农村资产活化、农民福祉建设的实体空间，是国家解决“三农”问题、建设宜居宜业和美乡村的物质保障。</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过去40余年的快速城镇化进程，推动6.4亿乡村人口进入城镇定居和就业。其中，落户城镇长期定居转化为城镇人口的规模约3.9亿，户籍仍属农村并在乡村和城镇两地迁徙流动的“半城镇化”人口约2.5亿。</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这一进程及其产生的城镇化格局，重塑了乡村人居环境传统的建设发展规律，也对乡村人居的空间重构、建筑更新、基础设施再配置以及生态环境治理等建设关键技术，提出了新的挑战，具体表现为3个方面：一是传统的乡村人居规划建设理论无法解决乡村空心化等矛盾，难以指导微观尺度的更新建设活动；二是平原或城市地区的规划与设计技术移植到乡村地区后适应性弱，加剧乡村同质化；三是乡村地形复杂，农户生活污水、粪便和垃圾等农污零碎分散、难收集，环境治理成本高、品质提升难。</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为此，项目组在建筑学、城乡规划学、土地利用学和复杂网络等交叉领域，在“十二五”“十三五”国家重点研发计划、国家社会科学基金重点项目、中建集团科技研发课题等科研计划持续支持下，以我国陆域面积约2/3的山地区域为典型对象，探索山地乡村人居空间与环境的更新建设理论及其关键技术，形成主要科技创新。</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1）创立山地乡村“复杂人居网络”规划理论、技术模式及时空模拟信息化平台。突破传统规划理论采用经验判断独个村庄静态特征、缺乏数据驱动预判连片村庄动态趋势的理论与技术瓶颈，为乡村人口有序流动、闲置土地和建成环境再利用提供理论依据和信息化工具。研究成果编入“十四五”国家级规划教材《国土空间规划概论》和住建部规划教材《城市网络概论》，信息化平台应用于全国5省70县。</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1）揭示农户流动对人居环境演化的作用机制及空间效应。农户在城乡地域的持续流动，推动传统家庭功能解体和社会化重构、重塑乡村公共服务设施的供给逻辑、呈现“农户流动→生产生活要素流→空间结构网络化”的空间效应。2）识别农户及其生产生活要素的物理、地理、逻辑和信息等4类流动轨迹，提炼公共服务、生命线工程和生态服务等3种功能逻辑，揭示乡村人居空间结构“蜂窝状→嵌入式→网络化”三阶段演进规律。3）建构山地乡村人居空间结构网络演化的趋势判别技术。创建适应我国乡村流动对象、类型及空间尺度的“复杂人居网络”建构原理与方法，集成山地乡村人居空间形态格局演变识别、驱动因素权重迭代、建设用地变化预测、生态效应评价4项趋势判别技术。4）研发山地乡村人居时空模拟信息化平台。采用B/S Web轻量化架构与数据松耦合逻辑，构建：村庄发展类型快速识别技术、整合马尔科夫模型及元胞自动机的乡村人居空间扩展趋势判别技术、集成改进空间引力模型及多智能体建模的节点与廊道配置技术、社会生态经济综合效应定量评估技术。</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2）构建山地乡村“复杂人居网络”节点建筑与基础设施通廊的更新规划与设计技术体系。弥补平原或城市技术模式移植山地乡村适应性差、不满足农户迁徙流动需求的技术短板，破解乡村公共服务节点建筑和基础设施通廊各自为政、重复建设，规划管控与建设落地脱节等现实难题。示范工程湖南省益阳市清溪村、水口山工人运动纪念馆等入选中宣部2026年“全国爱国主义教育示范基地”。</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1）乡村公共服务节点规划再配置技术。突破城市“千人指标+服务半径”标准化配置模式，创建“农户流动+服务网络”差异化配置技术，研发农户就学、就医、就业等关键服务节点识别、功能分级、跨村共享及设施规模优化技术，实现乡村公共服务由行政村均等配置向跨村网络化供给的转变，破解重复建设与服务覆盖不足难题。2）乡村公共服务建筑适应性设计技术。创建参数化构件生成、BIM协同、坡地结构适配、自然通风、风光互补及立体绿化等技术，将农户迁徙流动需求和建筑物理环境约束转译为建筑规模、体量造型与空间体验，实现农户流动、规划管控与建筑实体的精准传导和对接。3）农房平日与节日的“时空适配”技术。</w:t>
      </w:r>
      <w:r>
        <w:rPr>
          <w:rFonts w:hint="eastAsia" w:ascii="Times New Roman" w:hAnsi="Times New Roman"/>
          <w:szCs w:val="24"/>
          <w:lang w:val="en-US" w:eastAsia="zh-CN"/>
        </w:rPr>
        <w:t>全BIM数字化的农房方案生成平台、装配式农房产业链服务平台、主被动式绿建装配组件，实现同建筑面积下全生命周期碳排放较传统混凝土结构降低约30%。</w:t>
      </w:r>
      <w:r>
        <w:rPr>
          <w:rFonts w:hint="eastAsia" w:ascii="Times New Roman" w:hAnsi="Times New Roman"/>
          <w:szCs w:val="24"/>
          <w:lang w:eastAsia="zh-CN"/>
        </w:rPr>
        <w:t>4）乡村多类型通廊可靠性设计技术。研发交通、产业、旅游、水系及生态等多类型通廊的叠合识别、关键连接边判定、网络失效模拟、可靠性评价及线路优化等技术，破解交通、产业、旅游等基础设施通廊分割与挤占农业和生态空间的冲突，提高通廊建设与运维的可靠性。</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3）研发并应用推广适配复杂山地和分散负荷的农污治理成套装备与建造技术。破解农户生活污水、粪便和垃圾分散导致治理管控难、地形复杂导致建设成本高等现实问题，为攻克农污收集“最后一公里”难题、提升山地乡村人居环境品质提供可操作、可复制和低成本部品。河北省衡水市冀州区岳良村等改造示范案例获“全国文明村镇”称号，被央视等央级媒体报道。</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val="en-US" w:eastAsia="zh-CN"/>
        </w:rPr>
        <w:t>1）</w:t>
      </w:r>
      <w:r>
        <w:rPr>
          <w:rFonts w:hint="eastAsia" w:ascii="Times New Roman" w:hAnsi="Times New Roman"/>
          <w:szCs w:val="24"/>
          <w:lang w:eastAsia="zh-CN"/>
        </w:rPr>
        <w:t>研制并应用适应复杂地形和分散负荷的无源真空排水收集器、快速开启排污阀、真空工作站、真空管道管件以及远程智慧管理系统等成套设备。系统管径小、埋深浅、无淤泥、运维封闭管理，实现源头精准收集、全处理。解决农村污水处理站“收不到水”的困境，整套装备电费控制在3元/户/年，综合成本降低20-40%/村，地形爬坡超过30%。</w:t>
      </w:r>
      <w:r>
        <w:rPr>
          <w:rFonts w:hint="eastAsia" w:ascii="Times New Roman" w:hAnsi="Times New Roman"/>
          <w:szCs w:val="24"/>
          <w:lang w:val="en-US" w:eastAsia="zh-CN"/>
        </w:rPr>
        <w:t>2）</w:t>
      </w:r>
      <w:r>
        <w:rPr>
          <w:rFonts w:hint="eastAsia" w:ascii="Times New Roman" w:hAnsi="Times New Roman"/>
          <w:szCs w:val="24"/>
          <w:lang w:eastAsia="zh-CN"/>
        </w:rPr>
        <w:t>面向分散村镇生活垃圾处理设施规模小、转运距离长和运行维护能力有限的问题，完成小型生活垃圾处理和烟气无害化控制装备集成。</w:t>
      </w:r>
      <w:r>
        <w:rPr>
          <w:rFonts w:hint="eastAsia" w:ascii="Times New Roman" w:hAnsi="Times New Roman"/>
          <w:szCs w:val="24"/>
          <w:lang w:val="en-US" w:eastAsia="zh-CN"/>
        </w:rPr>
        <w:t>3）</w:t>
      </w:r>
      <w:r>
        <w:rPr>
          <w:rFonts w:hint="eastAsia" w:ascii="Times New Roman" w:hAnsi="Times New Roman"/>
          <w:szCs w:val="24"/>
          <w:lang w:eastAsia="zh-CN"/>
        </w:rPr>
        <w:t>研制山地乡村多类型基础设施通廊组件及建造技术。一是研制可升降浮桥、净水浮箱等通廊组件；二是集成创新道路、绿道及滨水路径复合断面建造技术，提高山地复杂地形条件下多类型基础设施的连通性和可靠性。</w:t>
      </w:r>
      <w:r>
        <w:rPr>
          <w:rFonts w:hint="eastAsia" w:ascii="Times New Roman" w:hAnsi="Times New Roman"/>
          <w:szCs w:val="24"/>
          <w:lang w:val="en-US" w:eastAsia="zh-CN"/>
        </w:rPr>
        <w:t>4）</w:t>
      </w:r>
      <w:r>
        <w:rPr>
          <w:rFonts w:hint="eastAsia" w:ascii="Times New Roman" w:hAnsi="Times New Roman"/>
          <w:szCs w:val="24"/>
          <w:lang w:eastAsia="zh-CN"/>
        </w:rPr>
        <w:t>乡村生态环境服务能力提升与修复技术。基于大数据的流域生态安全监测方法、生态系统服务功能评价方法、基于流域生态安全复杂网络的生态修复方法，</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成果获中建集团科学技术一等奖等省部级科技奖、全国和省市优秀规划与设计奖8项；授权发明专利33项、受理6项，获软件著作权11项；发表论文40余篇，出版国家和省部级规划教材2本；国内外学术会议宣讲2次，《湖南日报》《重庆日报》等主流媒体专题报道。</w:t>
      </w:r>
    </w:p>
    <w:p>
      <w:pPr>
        <w:spacing w:line="312" w:lineRule="auto"/>
        <w:ind w:firstLine="440" w:firstLineChars="200"/>
        <w:rPr>
          <w:rFonts w:hint="eastAsia" w:ascii="Times New Roman" w:hAnsi="Times New Roman"/>
          <w:szCs w:val="24"/>
          <w:lang w:eastAsia="zh-CN"/>
        </w:rPr>
      </w:pPr>
      <w:r>
        <w:rPr>
          <w:rFonts w:hint="eastAsia" w:ascii="Times New Roman" w:hAnsi="Times New Roman"/>
          <w:szCs w:val="24"/>
          <w:lang w:eastAsia="zh-CN"/>
        </w:rPr>
        <w:t>成果应用于重庆、山东等省级国土空间总体规划20余项，覆盖国土面积约50万平方公里；建成湖南、重庆、江苏等地乡村振兴示范工程22项、总投资102.66亿元、总建筑面积142万平方米、更新乡村道路800余公里；安置村民2万人，新增就业岗位7200个；信息化平台应用于全国5省70县，授权使用295套。直接经济效益2.5亿元，间接经济效益5.8亿元。</w:t>
      </w:r>
    </w:p>
    <w:p>
      <w:pPr>
        <w:widowControl/>
        <w:numPr>
          <w:ilvl w:val="0"/>
          <w:numId w:val="1"/>
        </w:numPr>
        <w:spacing w:line="312" w:lineRule="auto"/>
        <w:ind w:left="0" w:leftChars="0" w:firstLine="562" w:firstLineChars="0"/>
        <w:rPr>
          <w:rFonts w:hint="eastAsia" w:ascii="Times New Roman" w:hAnsi="Times New Roman" w:eastAsia="宋体"/>
          <w:b/>
          <w:sz w:val="28"/>
          <w:szCs w:val="28"/>
        </w:rPr>
      </w:pPr>
      <w:r>
        <w:rPr>
          <w:rFonts w:hint="eastAsia" w:ascii="Times New Roman" w:hAnsi="Times New Roman" w:eastAsia="宋体"/>
          <w:b/>
          <w:sz w:val="28"/>
          <w:szCs w:val="28"/>
        </w:rPr>
        <w:t>主要知识产权</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655"/>
        <w:gridCol w:w="2056"/>
        <w:gridCol w:w="2190"/>
        <w:gridCol w:w="2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b/>
                <w:vertAlign w:val="baseline"/>
              </w:rPr>
            </w:pPr>
            <w:r>
              <w:rPr>
                <w:rFonts w:hint="eastAsia" w:ascii="Times New Roman" w:hAnsi="Times New Roman" w:eastAsia="宋体"/>
                <w:b/>
              </w:rPr>
              <w:t>序号</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b/>
                <w:vertAlign w:val="baseline"/>
              </w:rPr>
            </w:pPr>
            <w:r>
              <w:rPr>
                <w:rFonts w:hint="eastAsia" w:ascii="Times New Roman" w:hAnsi="Times New Roman" w:eastAsia="宋体"/>
                <w:b/>
              </w:rPr>
              <w:t>国别</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b/>
                <w:vertAlign w:val="baseline"/>
              </w:rPr>
            </w:pPr>
            <w:r>
              <w:rPr>
                <w:rFonts w:hint="eastAsia" w:ascii="Times New Roman" w:hAnsi="Times New Roman" w:eastAsia="宋体"/>
                <w:b/>
              </w:rPr>
              <w:t>申请号</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b/>
                <w:vertAlign w:val="baseline"/>
              </w:rPr>
            </w:pPr>
            <w:r>
              <w:rPr>
                <w:rFonts w:hint="eastAsia" w:ascii="Times New Roman" w:hAnsi="Times New Roman" w:eastAsia="宋体"/>
                <w:b/>
              </w:rPr>
              <w:t>专利号</w:t>
            </w:r>
          </w:p>
        </w:tc>
        <w:tc>
          <w:tcPr>
            <w:tcW w:w="1783" w:type="pct"/>
            <w:vAlign w:val="center"/>
          </w:tcPr>
          <w:p>
            <w:pPr>
              <w:snapToGrid w:val="0"/>
              <w:spacing w:line="240" w:lineRule="auto"/>
              <w:ind w:left="0" w:leftChars="0" w:right="0" w:rightChars="0" w:firstLine="0" w:firstLineChars="0"/>
              <w:jc w:val="center"/>
              <w:rPr>
                <w:rFonts w:ascii="Times New Roman" w:hAnsi="Times New Roman" w:eastAsia="宋体"/>
                <w:b/>
                <w:vertAlign w:val="baseline"/>
              </w:rPr>
            </w:pPr>
            <w:r>
              <w:rPr>
                <w:rFonts w:hint="eastAsia" w:ascii="Times New Roman" w:hAnsi="Times New Roman" w:eastAsia="宋体"/>
                <w:b/>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CN202411670664.9</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ZL202411670664.9</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一种无人机低空温度场反演方法及系统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CN202310900562.0</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ZL202310900562.0</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基于Grasshopper的轻型木结构楼盖格栅结构优化方法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3</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CN202310862107.6</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ZL202310862107.6</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基于Grasshopper的轻型木结构楼盖格栅快速BIM建模方法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4</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CN202410551007.6</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ZL202410551007.6</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一种利用Grasshopper生成Archicad参数化构件的方法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5</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CN202310976536.6</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ZL202310976536.6</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一种建筑自动化通风调节系统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6</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CN202310518211.3</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ZL202310518211.3</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一种拔风井用能源装置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7</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CN202310518197.7</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ZL202310518197.7</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一种风道用风力光伏互补发电装置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8</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CN202211662513.X</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ZL202211662513.X</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一种建筑风道气体控制设备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9</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CN202411915599.1</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ZL202411915599.1</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一种空间复杂网络特征提取方法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10</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CN202210190464.8</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ZL202210190464.8</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基于公路的乡村聚落演化预测方法、装置、设备及介质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11</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CN201811591829.8</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ZL201811591829.8</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一种道路网络可靠性评估方法、系统、终端及介质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12</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CN201510294082.X</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ZL201510294082.X</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城镇公共空间的社会网络模型构建方法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13</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CN201510443092.5</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​ZL201510443092.5</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风景名胜区游赏线路评价及改进方法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14</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CN201810474239.0</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ZL201810474239.0</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公交网络拓扑属性和空间属性的分析方法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15</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CN201810343326.2</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ZL201810343326.2</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村镇生活垃圾低成本收运系统的评估方法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16</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CN201810892347.X</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ZL201810892347.X</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基于社会网络动态攻击的历史文化名镇保护分析方法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17</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CN201811581841.0</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ZL201811581841.0</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山地流域水系生态过程与水电梯级开发的耦合分析系统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18</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CN202111416966.X</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ZL202111416966.X</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村镇建设用地扩展后的生态效应评价方法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19</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CN201910161070.8</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ZL201910161070.8</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浮桥运维系统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20</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CN201911231330.0</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ZL201910161062.3</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可升降浮桥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21</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CN201910161617.4</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ZL201910161617.4</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净水浮箱及浮桥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22</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CN202010349427.8</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ZL202010349427.8</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立体绿化系统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23</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CN202210571761.7</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​ZL202210571761.7</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一种村镇空间形态与格局演变识别方法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24</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CN202011397119.9</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ZL202011397119.9</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基于改进神经网络算法的建设用地面积预测方法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25</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CN202011431551.5</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ZL202011431551.5</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一种运用神经网络算法确定建设用地面积影响因素权重值的方法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26</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CN202411792596.3</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ZL202411792596.3</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一种基于大数据的流域生态安全监测方法及系统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27</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CN202411749715.7</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ZL202411749715.7</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一种基于流域生态安全复杂网络的生态修复量化方法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28</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CN202310411367.1</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ZL202310411367.1</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一种生态系统服务功能评价方法及系统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29</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CN201711370671.7</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ZL201711370671.7</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一种移动式真空厕所的制造方法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30</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CN201711370785.1</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ZL201711370785.1</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一种移动式真空厕所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31</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CN201710685921.X</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ZL201710685921.X</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能速开的无源真空排水方法及无源真空排水、排污阀装置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32</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CN201710685922.4</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ZL201710685922.4</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具有快速开启无源真空排污阀的真空排水系统及排水方法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33</w:t>
            </w:r>
          </w:p>
        </w:tc>
        <w:tc>
          <w:tcPr>
            <w:tcW w:w="43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中国</w:t>
            </w:r>
          </w:p>
        </w:tc>
        <w:tc>
          <w:tcPr>
            <w:tcW w:w="1140"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CN201410316424.9</w:t>
            </w:r>
          </w:p>
        </w:tc>
        <w:tc>
          <w:tcPr>
            <w:tcW w:w="1214" w:type="pct"/>
            <w:vAlign w:val="center"/>
          </w:tcPr>
          <w:p>
            <w:pPr>
              <w:snapToGrid w:val="0"/>
              <w:spacing w:line="240" w:lineRule="auto"/>
              <w:ind w:left="0" w:leftChars="0" w:right="0" w:rightChars="0" w:firstLine="0" w:firstLineChars="0"/>
              <w:jc w:val="center"/>
              <w:rPr>
                <w:rFonts w:ascii="Times New Roman" w:hAnsi="Times New Roman" w:eastAsia="宋体"/>
                <w:vertAlign w:val="baseline"/>
              </w:rPr>
            </w:pPr>
            <w:r>
              <w:rPr>
                <w:rFonts w:hint="eastAsia" w:ascii="Times New Roman" w:hAnsi="Times New Roman" w:eastAsia="宋体"/>
              </w:rPr>
              <w:t>ZL201410316424.9</w:t>
            </w:r>
          </w:p>
        </w:tc>
        <w:tc>
          <w:tcPr>
            <w:tcW w:w="1783" w:type="pct"/>
            <w:vAlign w:val="center"/>
          </w:tcPr>
          <w:p>
            <w:pPr>
              <w:snapToGrid w:val="0"/>
              <w:spacing w:line="240" w:lineRule="auto"/>
              <w:ind w:left="0" w:leftChars="0" w:right="0" w:rightChars="0" w:firstLine="0" w:firstLineChars="0"/>
              <w:jc w:val="left"/>
              <w:rPr>
                <w:rFonts w:ascii="Times New Roman" w:hAnsi="Times New Roman" w:eastAsia="宋体"/>
                <w:vertAlign w:val="baseline"/>
              </w:rPr>
            </w:pPr>
            <w:r>
              <w:rPr>
                <w:rFonts w:hint="eastAsia" w:ascii="Times New Roman" w:hAnsi="Times New Roman" w:eastAsia="宋体"/>
              </w:rPr>
              <w:t>滴水雨伞架</w:t>
            </w:r>
          </w:p>
        </w:tc>
      </w:tr>
    </w:tbl>
    <w:p>
      <w:pPr>
        <w:adjustRightInd w:val="0"/>
        <w:spacing w:line="312" w:lineRule="auto"/>
        <w:ind w:firstLine="562"/>
        <w:rPr>
          <w:rFonts w:ascii="Times New Roman" w:hAnsi="Times New Roman" w:eastAsia="宋体"/>
          <w:b/>
          <w:sz w:val="28"/>
          <w:szCs w:val="28"/>
        </w:rPr>
      </w:pPr>
      <w:r>
        <w:rPr>
          <w:rFonts w:hint="eastAsia" w:ascii="Times New Roman" w:hAnsi="Times New Roman" w:eastAsia="宋体"/>
          <w:b/>
          <w:sz w:val="28"/>
          <w:szCs w:val="28"/>
        </w:rPr>
        <w:t>六</w:t>
      </w:r>
      <w:r>
        <w:rPr>
          <w:rFonts w:ascii="Times New Roman" w:hAnsi="Times New Roman" w:eastAsia="宋体"/>
          <w:b/>
          <w:sz w:val="28"/>
          <w:szCs w:val="28"/>
        </w:rPr>
        <w:t>、主要完成人</w:t>
      </w:r>
    </w:p>
    <w:p>
      <w:pPr>
        <w:widowControl/>
        <w:spacing w:line="312" w:lineRule="auto"/>
        <w:ind w:firstLine="440" w:firstLineChars="200"/>
        <w:rPr>
          <w:rFonts w:ascii="Times New Roman" w:hAnsi="Times New Roman" w:eastAsia="宋体"/>
          <w:bCs/>
          <w:sz w:val="28"/>
          <w:szCs w:val="28"/>
        </w:rPr>
      </w:pPr>
      <w:r>
        <w:rPr>
          <w:rFonts w:hint="eastAsia" w:ascii="Times New Roman" w:hAnsi="Times New Roman" w:eastAsia="宋体"/>
          <w:szCs w:val="24"/>
        </w:rPr>
        <w:t>杨瑛、黄勇、王成、董莉莉、高磊、孔阳、郭凯睿、陈倩婷、谭亦高、陈丹、冯盼盼、杨宇晟、郑婕、刘宇奇、曲垚</w:t>
      </w:r>
    </w:p>
    <w:p>
      <w:pPr>
        <w:adjustRightInd w:val="0"/>
        <w:spacing w:line="312" w:lineRule="auto"/>
        <w:ind w:firstLine="562"/>
        <w:rPr>
          <w:rFonts w:ascii="Times New Roman" w:hAnsi="Times New Roman" w:eastAsia="宋体"/>
          <w:b/>
          <w:sz w:val="24"/>
          <w:szCs w:val="24"/>
        </w:rPr>
      </w:pPr>
      <w:r>
        <w:rPr>
          <w:rFonts w:hint="eastAsia" w:ascii="Times New Roman" w:hAnsi="Times New Roman" w:eastAsia="宋体"/>
          <w:b/>
          <w:sz w:val="28"/>
          <w:szCs w:val="28"/>
        </w:rPr>
        <w:t>七、主要完成单位</w:t>
      </w:r>
    </w:p>
    <w:p>
      <w:pPr>
        <w:widowControl/>
        <w:spacing w:line="312" w:lineRule="auto"/>
        <w:ind w:firstLine="440" w:firstLineChars="200"/>
        <w:rPr>
          <w:rFonts w:ascii="Times New Roman" w:hAnsi="Times New Roman" w:eastAsia="宋体"/>
          <w:bCs/>
          <w:sz w:val="28"/>
          <w:szCs w:val="28"/>
        </w:rPr>
      </w:pPr>
      <w:r>
        <w:rPr>
          <w:rFonts w:hint="eastAsia" w:ascii="Times New Roman" w:hAnsi="Times New Roman" w:eastAsia="宋体"/>
          <w:szCs w:val="24"/>
        </w:rPr>
        <w:t>重庆大学、中国建筑第五工程局有限公司、西南大学、中建奇配（深圳）科技有限公司</w:t>
      </w:r>
      <w:r>
        <w:rPr>
          <w:rFonts w:hint="eastAsia" w:ascii="Times New Roman" w:hAnsi="Times New Roman"/>
          <w:szCs w:val="24"/>
          <w:lang w:eastAsia="zh-CN"/>
        </w:rPr>
        <w:t>、</w:t>
      </w:r>
      <w:r>
        <w:rPr>
          <w:rFonts w:hint="eastAsia" w:ascii="Times New Roman" w:hAnsi="Times New Roman" w:eastAsia="宋体"/>
          <w:szCs w:val="24"/>
        </w:rPr>
        <w:t>中国建筑设计研究院有限公司、南京航空航天大学、湖南真创环保科技有限公司、重庆交通大学</w:t>
      </w:r>
    </w:p>
    <w:p>
      <w:pPr>
        <w:spacing w:line="312" w:lineRule="auto"/>
        <w:rPr>
          <w:rFonts w:ascii="Times New Roman" w:hAnsi="Times New Roman" w:eastAsia="宋体"/>
        </w:rPr>
      </w:pPr>
    </w:p>
    <w:p>
      <w:pPr>
        <w:spacing w:line="312" w:lineRule="auto"/>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522253"/>
    <w:multiLevelType w:val="singleLevel"/>
    <w:tmpl w:val="0B52225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I0ODNlYjg2NjhkZmRlNmEwMjFlYWM2MTAxZGNlYWIifQ=="/>
  </w:docVars>
  <w:rsids>
    <w:rsidRoot w:val="00532B28"/>
    <w:rsid w:val="000871EF"/>
    <w:rsid w:val="002667DF"/>
    <w:rsid w:val="002A7EBD"/>
    <w:rsid w:val="003A681F"/>
    <w:rsid w:val="003E0BD1"/>
    <w:rsid w:val="0045583B"/>
    <w:rsid w:val="004D25F5"/>
    <w:rsid w:val="004E6216"/>
    <w:rsid w:val="005246B7"/>
    <w:rsid w:val="00532B28"/>
    <w:rsid w:val="0054147E"/>
    <w:rsid w:val="005C5C85"/>
    <w:rsid w:val="00690C04"/>
    <w:rsid w:val="006C2D81"/>
    <w:rsid w:val="006F279B"/>
    <w:rsid w:val="007057B0"/>
    <w:rsid w:val="00744974"/>
    <w:rsid w:val="00760B79"/>
    <w:rsid w:val="00837C5F"/>
    <w:rsid w:val="00873AD2"/>
    <w:rsid w:val="00A21478"/>
    <w:rsid w:val="00AD25AD"/>
    <w:rsid w:val="00AF00E3"/>
    <w:rsid w:val="00B96A0D"/>
    <w:rsid w:val="00BC7897"/>
    <w:rsid w:val="00C50760"/>
    <w:rsid w:val="00D11367"/>
    <w:rsid w:val="00D45321"/>
    <w:rsid w:val="00ED31B5"/>
    <w:rsid w:val="00FD54DA"/>
    <w:rsid w:val="0ACE5BC6"/>
    <w:rsid w:val="0ECB1C7E"/>
    <w:rsid w:val="103510F8"/>
    <w:rsid w:val="1BE671DD"/>
    <w:rsid w:val="1DC167A1"/>
    <w:rsid w:val="217A4437"/>
    <w:rsid w:val="2B7646CF"/>
    <w:rsid w:val="305F5A80"/>
    <w:rsid w:val="391963E5"/>
    <w:rsid w:val="3F491798"/>
    <w:rsid w:val="3F541221"/>
    <w:rsid w:val="43D77591"/>
    <w:rsid w:val="45C5024D"/>
    <w:rsid w:val="4B8464B4"/>
    <w:rsid w:val="5189019C"/>
    <w:rsid w:val="54260D9E"/>
    <w:rsid w:val="547D5954"/>
    <w:rsid w:val="54974DD6"/>
    <w:rsid w:val="54C620D6"/>
    <w:rsid w:val="56837A94"/>
    <w:rsid w:val="59B3717F"/>
    <w:rsid w:val="5B9B465A"/>
    <w:rsid w:val="5D5C1689"/>
    <w:rsid w:val="64D616D7"/>
    <w:rsid w:val="651625F0"/>
    <w:rsid w:val="67F826C7"/>
    <w:rsid w:val="6C224A45"/>
    <w:rsid w:val="6CD63D34"/>
    <w:rsid w:val="747E784D"/>
    <w:rsid w:val="77617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宋体" w:hAnsi="宋体" w:eastAsia="宋体" w:cs="宋体"/>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pPr>
    <w:rPr>
      <w:sz w:val="18"/>
      <w:szCs w:val="18"/>
    </w:rPr>
  </w:style>
  <w:style w:type="paragraph" w:styleId="3">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autoRedefine/>
    <w:qFormat/>
    <w:uiPriority w:val="34"/>
    <w:pPr>
      <w:ind w:firstLine="420" w:firstLineChars="200"/>
    </w:pPr>
  </w:style>
  <w:style w:type="paragraph" w:customStyle="1" w:styleId="8">
    <w:name w:val="图表内容"/>
    <w:basedOn w:val="1"/>
    <w:link w:val="9"/>
    <w:qFormat/>
    <w:uiPriority w:val="0"/>
    <w:pPr>
      <w:autoSpaceDE/>
      <w:autoSpaceDN/>
      <w:jc w:val="center"/>
    </w:pPr>
    <w:rPr>
      <w:rFonts w:cs="Times New Roman"/>
      <w:kern w:val="2"/>
      <w:sz w:val="18"/>
      <w:szCs w:val="20"/>
    </w:rPr>
  </w:style>
  <w:style w:type="character" w:customStyle="1" w:styleId="9">
    <w:name w:val="图表内容 字符"/>
    <w:basedOn w:val="6"/>
    <w:link w:val="8"/>
    <w:qFormat/>
    <w:uiPriority w:val="0"/>
    <w:rPr>
      <w:rFonts w:ascii="宋体" w:hAnsi="宋体" w:eastAsia="宋体" w:cs="Times New Roman"/>
      <w:kern w:val="2"/>
      <w:sz w:val="18"/>
    </w:rPr>
  </w:style>
  <w:style w:type="character" w:customStyle="1" w:styleId="10">
    <w:name w:val="页眉 字符"/>
    <w:basedOn w:val="6"/>
    <w:link w:val="3"/>
    <w:qFormat/>
    <w:uiPriority w:val="0"/>
    <w:rPr>
      <w:rFonts w:ascii="宋体" w:hAnsi="宋体" w:eastAsia="宋体" w:cs="宋体"/>
      <w:sz w:val="18"/>
      <w:szCs w:val="18"/>
    </w:rPr>
  </w:style>
  <w:style w:type="character" w:customStyle="1" w:styleId="11">
    <w:name w:val="页脚 字符"/>
    <w:basedOn w:val="6"/>
    <w:link w:val="2"/>
    <w:qFormat/>
    <w:uiPriority w:val="0"/>
    <w:rPr>
      <w:rFonts w:ascii="宋体" w:hAnsi="宋体" w:eastAsia="宋体" w:cs="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953</Words>
  <Characters>2011</Characters>
  <Lines>14</Lines>
  <Paragraphs>4</Paragraphs>
  <TotalTime>32</TotalTime>
  <ScaleCrop>false</ScaleCrop>
  <LinksUpToDate>false</LinksUpToDate>
  <CharactersWithSpaces>2011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2024-02-03T01:46:00Z</dcterms:created>
  <dc:creator>admin</dc:creator>
  <cp:lastModifiedBy>赵玥</cp:lastModifiedBy>
  <dcterms:modified xsi:type="dcterms:W3CDTF">2026-10-30T07:32:17Z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BFB78EEA759845A88A7300D6E53978F3_13</vt:lpwstr>
  </property>
  <property fmtid="{D5CDD505-2E9C-101B-9397-08002B2CF9AE}" pid="4" name="KSOTemplateDocerSaveRecord">
    <vt:lpwstr>eyJoZGlkIjoiMDM3ZmZhNWU2ZTZiNDUwZTIzZmZiNWI5OTFjMDUwZmMiLCJ1c2VySWQiOiIzMDI3MTI5NDYifQ==</vt:lpwstr>
  </property>
</Properties>
</file>