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CC21E">
      <w:pPr>
        <w:keepNext w:val="0"/>
        <w:keepLines w:val="0"/>
        <w:pageBreakBefore w:val="0"/>
        <w:widowControl w:val="0"/>
        <w:kinsoku/>
        <w:wordWrap/>
        <w:overflowPunct/>
        <w:topLinePunct w:val="0"/>
        <w:autoSpaceDE/>
        <w:autoSpaceDN/>
        <w:bidi w:val="0"/>
        <w:adjustRightInd/>
        <w:snapToGrid/>
        <w:spacing w:line="520" w:lineRule="exact"/>
        <w:ind w:left="0" w:right="0"/>
        <w:jc w:val="center"/>
        <w:textAlignment w:val="auto"/>
        <w:rPr>
          <w:rFonts w:hint="default" w:ascii="Times New Roman" w:hAnsi="Times New Roman" w:eastAsia="方正小标宋简体" w:cs="Times New Roman"/>
          <w:b w:val="0"/>
          <w:bCs/>
          <w:sz w:val="24"/>
          <w:szCs w:val="24"/>
          <w:lang w:eastAsia="zh-CN"/>
        </w:rPr>
      </w:pPr>
      <w:bookmarkStart w:id="0" w:name="_GoBack"/>
      <w:bookmarkEnd w:id="0"/>
      <w:r>
        <w:rPr>
          <w:rFonts w:hint="default" w:ascii="Times New Roman" w:hAnsi="Times New Roman" w:eastAsia="方正小标宋简体" w:cs="Times New Roman"/>
          <w:b w:val="0"/>
          <w:bCs/>
          <w:w w:val="95"/>
          <w:sz w:val="24"/>
          <w:szCs w:val="24"/>
          <w:lang w:eastAsia="zh-CN"/>
        </w:rPr>
        <w:t>2026</w:t>
      </w:r>
      <w:r>
        <w:rPr>
          <w:rFonts w:hint="default" w:ascii="Times New Roman" w:hAnsi="Times New Roman" w:eastAsia="方正小标宋简体" w:cs="Times New Roman"/>
          <w:b w:val="0"/>
          <w:bCs/>
          <w:w w:val="95"/>
          <w:sz w:val="24"/>
          <w:szCs w:val="24"/>
        </w:rPr>
        <w:t>年度</w:t>
      </w:r>
      <w:r>
        <w:rPr>
          <w:rFonts w:hint="default" w:ascii="Times New Roman" w:hAnsi="Times New Roman" w:eastAsia="方正小标宋简体" w:cs="Times New Roman"/>
          <w:b w:val="0"/>
          <w:bCs/>
          <w:w w:val="95"/>
          <w:sz w:val="24"/>
          <w:szCs w:val="24"/>
          <w:lang w:val="en-US" w:eastAsia="zh-CN"/>
        </w:rPr>
        <w:t>青岛市科学技术</w:t>
      </w:r>
      <w:r>
        <w:rPr>
          <w:rFonts w:hint="default" w:ascii="Times New Roman" w:hAnsi="Times New Roman" w:eastAsia="方正小标宋简体" w:cs="Times New Roman"/>
          <w:b w:val="0"/>
          <w:bCs/>
          <w:w w:val="95"/>
          <w:sz w:val="24"/>
          <w:szCs w:val="24"/>
        </w:rPr>
        <w:t>奖候选项目公示信</w:t>
      </w:r>
      <w:r>
        <w:rPr>
          <w:rFonts w:hint="default" w:ascii="Times New Roman" w:hAnsi="Times New Roman" w:eastAsia="方正小标宋简体" w:cs="Times New Roman"/>
          <w:b w:val="0"/>
          <w:bCs/>
          <w:spacing w:val="-10"/>
          <w:w w:val="95"/>
          <w:sz w:val="24"/>
          <w:szCs w:val="24"/>
        </w:rPr>
        <w:t>息</w:t>
      </w:r>
      <w:r>
        <w:rPr>
          <w:rFonts w:hint="default" w:ascii="Times New Roman" w:hAnsi="Times New Roman" w:eastAsia="方正小标宋简体" w:cs="Times New Roman"/>
          <w:b w:val="0"/>
          <w:bCs/>
          <w:spacing w:val="-10"/>
          <w:w w:val="95"/>
          <w:sz w:val="24"/>
          <w:szCs w:val="24"/>
          <w:lang w:eastAsia="zh-CN"/>
        </w:rPr>
        <w:t>（</w:t>
      </w:r>
      <w:r>
        <w:rPr>
          <w:rFonts w:hint="default" w:ascii="Times New Roman" w:hAnsi="Times New Roman" w:eastAsia="方正小标宋简体" w:cs="Times New Roman"/>
          <w:b w:val="0"/>
          <w:bCs/>
          <w:spacing w:val="-10"/>
          <w:w w:val="95"/>
          <w:sz w:val="24"/>
          <w:szCs w:val="24"/>
          <w:lang w:val="en-US" w:eastAsia="zh-CN"/>
        </w:rPr>
        <w:t>自然科学奖</w:t>
      </w:r>
      <w:r>
        <w:rPr>
          <w:rFonts w:hint="default" w:ascii="Times New Roman" w:hAnsi="Times New Roman" w:eastAsia="方正小标宋简体" w:cs="Times New Roman"/>
          <w:b w:val="0"/>
          <w:bCs/>
          <w:spacing w:val="-10"/>
          <w:w w:val="95"/>
          <w:sz w:val="24"/>
          <w:szCs w:val="24"/>
          <w:lang w:eastAsia="zh-CN"/>
        </w:rPr>
        <w:t>）</w:t>
      </w:r>
    </w:p>
    <w:tbl>
      <w:tblPr>
        <w:tblStyle w:val="4"/>
        <w:tblpPr w:leftFromText="180" w:rightFromText="180" w:vertAnchor="text" w:horzAnchor="page" w:tblpX="697" w:tblpY="97"/>
        <w:tblOverlap w:val="never"/>
        <w:tblW w:w="104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334"/>
        <w:gridCol w:w="654"/>
        <w:gridCol w:w="389"/>
        <w:gridCol w:w="861"/>
        <w:gridCol w:w="182"/>
        <w:gridCol w:w="327"/>
        <w:gridCol w:w="716"/>
        <w:gridCol w:w="801"/>
        <w:gridCol w:w="242"/>
        <w:gridCol w:w="1390"/>
        <w:gridCol w:w="325"/>
        <w:gridCol w:w="569"/>
        <w:gridCol w:w="845"/>
        <w:gridCol w:w="1043"/>
        <w:gridCol w:w="1052"/>
      </w:tblGrid>
      <w:tr w14:paraId="119DA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6" w:type="dxa"/>
            <w:gridSpan w:val="7"/>
            <w:vAlign w:val="center"/>
          </w:tcPr>
          <w:p w14:paraId="4AA13248">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奖励类别</w:t>
            </w:r>
          </w:p>
        </w:tc>
        <w:tc>
          <w:tcPr>
            <w:tcW w:w="6983" w:type="dxa"/>
            <w:gridSpan w:val="9"/>
            <w:vAlign w:val="center"/>
          </w:tcPr>
          <w:p w14:paraId="2AD6E809">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自然科学奖</w:t>
            </w:r>
          </w:p>
        </w:tc>
      </w:tr>
      <w:tr w14:paraId="15B3F5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3456" w:type="dxa"/>
            <w:gridSpan w:val="7"/>
            <w:vAlign w:val="center"/>
          </w:tcPr>
          <w:p w14:paraId="4E142B49">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项目名称</w:t>
            </w:r>
          </w:p>
        </w:tc>
        <w:tc>
          <w:tcPr>
            <w:tcW w:w="6983" w:type="dxa"/>
            <w:gridSpan w:val="9"/>
            <w:vAlign w:val="center"/>
          </w:tcPr>
          <w:p w14:paraId="23D924C9">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仿生微织构与超声振动协同牵引车削润滑剂定向浸润动力学机理</w:t>
            </w:r>
          </w:p>
        </w:tc>
      </w:tr>
      <w:tr w14:paraId="05879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456" w:type="dxa"/>
            <w:gridSpan w:val="7"/>
            <w:vAlign w:val="center"/>
          </w:tcPr>
          <w:p w14:paraId="0EE15A97">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提名单位（提名专家</w:t>
            </w:r>
            <w:r>
              <w:rPr>
                <w:rFonts w:hint="default" w:ascii="Times New Roman" w:hAnsi="Times New Roman" w:eastAsia="宋体" w:cs="Times New Roman"/>
                <w:spacing w:val="-10"/>
                <w:sz w:val="24"/>
                <w:szCs w:val="24"/>
              </w:rPr>
              <w:t>）</w:t>
            </w:r>
          </w:p>
        </w:tc>
        <w:tc>
          <w:tcPr>
            <w:tcW w:w="6983" w:type="dxa"/>
            <w:gridSpan w:val="9"/>
            <w:vAlign w:val="center"/>
          </w:tcPr>
          <w:p w14:paraId="208710F3">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青岛理工大学</w:t>
            </w:r>
          </w:p>
        </w:tc>
      </w:tr>
      <w:tr w14:paraId="12E0E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3456" w:type="dxa"/>
            <w:gridSpan w:val="7"/>
            <w:vAlign w:val="center"/>
          </w:tcPr>
          <w:p w14:paraId="7225D57E">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提名等级</w:t>
            </w:r>
          </w:p>
        </w:tc>
        <w:tc>
          <w:tcPr>
            <w:tcW w:w="6983" w:type="dxa"/>
            <w:gridSpan w:val="9"/>
            <w:vAlign w:val="center"/>
          </w:tcPr>
          <w:p w14:paraId="10B07FFD">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二等奖</w:t>
            </w:r>
          </w:p>
        </w:tc>
      </w:tr>
      <w:tr w14:paraId="37CDD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439" w:type="dxa"/>
            <w:gridSpan w:val="16"/>
            <w:vAlign w:val="center"/>
          </w:tcPr>
          <w:p w14:paraId="684D958B">
            <w:pPr>
              <w:pStyle w:val="9"/>
              <w:keepNext w:val="0"/>
              <w:keepLines w:val="0"/>
              <w:pageBreakBefore w:val="0"/>
              <w:widowControl w:val="0"/>
              <w:kinsoku/>
              <w:wordWrap/>
              <w:overflowPunct/>
              <w:topLinePunct w:val="0"/>
              <w:autoSpaceDE/>
              <w:autoSpaceDN/>
              <w:bidi w:val="0"/>
              <w:adjustRightInd/>
              <w:snapToGrid/>
              <w:spacing w:line="292" w:lineRule="exact"/>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主要完成人情况</w:t>
            </w:r>
          </w:p>
        </w:tc>
      </w:tr>
      <w:tr w14:paraId="22ABA2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709" w:type="dxa"/>
            <w:vAlign w:val="center"/>
          </w:tcPr>
          <w:p w14:paraId="06F45F4E">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排名</w:t>
            </w:r>
          </w:p>
        </w:tc>
        <w:tc>
          <w:tcPr>
            <w:tcW w:w="988" w:type="dxa"/>
            <w:gridSpan w:val="2"/>
            <w:vAlign w:val="center"/>
          </w:tcPr>
          <w:p w14:paraId="31309E31">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姓名</w:t>
            </w:r>
          </w:p>
        </w:tc>
        <w:tc>
          <w:tcPr>
            <w:tcW w:w="1250" w:type="dxa"/>
            <w:gridSpan w:val="2"/>
            <w:vAlign w:val="center"/>
          </w:tcPr>
          <w:p w14:paraId="289083D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技术</w:t>
            </w:r>
          </w:p>
          <w:p w14:paraId="549BE78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职称</w:t>
            </w:r>
          </w:p>
        </w:tc>
        <w:tc>
          <w:tcPr>
            <w:tcW w:w="2026" w:type="dxa"/>
            <w:gridSpan w:val="4"/>
            <w:vAlign w:val="center"/>
          </w:tcPr>
          <w:p w14:paraId="6C2FADF3">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工作单位</w:t>
            </w:r>
          </w:p>
        </w:tc>
        <w:tc>
          <w:tcPr>
            <w:tcW w:w="1957" w:type="dxa"/>
            <w:gridSpan w:val="3"/>
            <w:vAlign w:val="center"/>
          </w:tcPr>
          <w:p w14:paraId="2F59496F">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完成单位</w:t>
            </w:r>
          </w:p>
        </w:tc>
        <w:tc>
          <w:tcPr>
            <w:tcW w:w="3509" w:type="dxa"/>
            <w:gridSpan w:val="4"/>
            <w:vAlign w:val="center"/>
          </w:tcPr>
          <w:p w14:paraId="185601EA">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对本项目</w:t>
            </w:r>
            <w:r>
              <w:rPr>
                <w:rFonts w:hint="default" w:ascii="Times New Roman" w:hAnsi="Times New Roman" w:eastAsia="宋体" w:cs="Times New Roman"/>
                <w:sz w:val="24"/>
                <w:szCs w:val="24"/>
                <w:lang w:val="en-US" w:eastAsia="zh-CN"/>
              </w:rPr>
              <w:t>重要科技发现</w:t>
            </w:r>
            <w:r>
              <w:rPr>
                <w:rFonts w:hint="default" w:ascii="Times New Roman" w:hAnsi="Times New Roman" w:eastAsia="宋体" w:cs="Times New Roman"/>
                <w:spacing w:val="-2"/>
                <w:sz w:val="24"/>
                <w:szCs w:val="24"/>
              </w:rPr>
              <w:t>的贡献</w:t>
            </w:r>
          </w:p>
        </w:tc>
      </w:tr>
      <w:tr w14:paraId="2610A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09" w:type="dxa"/>
            <w:vAlign w:val="center"/>
          </w:tcPr>
          <w:p w14:paraId="73CA3CF4">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988" w:type="dxa"/>
            <w:gridSpan w:val="2"/>
            <w:vAlign w:val="center"/>
          </w:tcPr>
          <w:p w14:paraId="78C4D4A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王晓铭</w:t>
            </w:r>
          </w:p>
        </w:tc>
        <w:tc>
          <w:tcPr>
            <w:tcW w:w="1250" w:type="dxa"/>
            <w:gridSpan w:val="2"/>
            <w:vAlign w:val="center"/>
          </w:tcPr>
          <w:p w14:paraId="0F7D8F04">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讲师</w:t>
            </w:r>
          </w:p>
        </w:tc>
        <w:tc>
          <w:tcPr>
            <w:tcW w:w="2026" w:type="dxa"/>
            <w:gridSpan w:val="4"/>
            <w:vAlign w:val="center"/>
          </w:tcPr>
          <w:p w14:paraId="39B20C33">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青岛理工大学</w:t>
            </w:r>
          </w:p>
        </w:tc>
        <w:tc>
          <w:tcPr>
            <w:tcW w:w="1957" w:type="dxa"/>
            <w:gridSpan w:val="3"/>
            <w:vAlign w:val="center"/>
          </w:tcPr>
          <w:p w14:paraId="539C677E">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青岛理工大学</w:t>
            </w:r>
          </w:p>
        </w:tc>
        <w:tc>
          <w:tcPr>
            <w:tcW w:w="3509" w:type="dxa"/>
            <w:gridSpan w:val="4"/>
            <w:vAlign w:val="center"/>
          </w:tcPr>
          <w:p w14:paraId="6F4B0C14">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本项目发现点1、2、3均做出创造性贡献：揭示连续接触刀具切屑界面纳米生物润滑剂动态浸润动力学与摩擦调控机理，开展植物油基纳米微量润滑车削试验研究；阐明超声高频分离效应下切削界面深层浸润行为规律；揭示仿生微织构几何构型对纳米润滑剂定向输运浸润调控机制。</w:t>
            </w:r>
          </w:p>
        </w:tc>
      </w:tr>
      <w:tr w14:paraId="1C837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709" w:type="dxa"/>
            <w:vAlign w:val="center"/>
          </w:tcPr>
          <w:p w14:paraId="4BCF4120">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988" w:type="dxa"/>
            <w:gridSpan w:val="2"/>
            <w:vAlign w:val="center"/>
          </w:tcPr>
          <w:p w14:paraId="650944DB">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丁文锋</w:t>
            </w:r>
          </w:p>
        </w:tc>
        <w:tc>
          <w:tcPr>
            <w:tcW w:w="1250" w:type="dxa"/>
            <w:gridSpan w:val="2"/>
            <w:vAlign w:val="center"/>
          </w:tcPr>
          <w:p w14:paraId="37AEE007">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教授</w:t>
            </w:r>
          </w:p>
        </w:tc>
        <w:tc>
          <w:tcPr>
            <w:tcW w:w="2026" w:type="dxa"/>
            <w:gridSpan w:val="4"/>
            <w:vAlign w:val="center"/>
          </w:tcPr>
          <w:p w14:paraId="289301C2">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南京航空航天大学</w:t>
            </w:r>
          </w:p>
        </w:tc>
        <w:tc>
          <w:tcPr>
            <w:tcW w:w="1957" w:type="dxa"/>
            <w:gridSpan w:val="3"/>
            <w:vAlign w:val="center"/>
          </w:tcPr>
          <w:p w14:paraId="14ECCE9E">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南京航空航天大学</w:t>
            </w:r>
          </w:p>
        </w:tc>
        <w:tc>
          <w:tcPr>
            <w:tcW w:w="3509" w:type="dxa"/>
            <w:gridSpan w:val="4"/>
            <w:vAlign w:val="center"/>
          </w:tcPr>
          <w:p w14:paraId="323ECC4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发现点2做出创造性贡献：开发了超声振动系统，参与揭示超声高频分离效应驱动连续切削界面深层浸润行为规律，参与超声振动装置切削加工行为研究，阐明超声振动诱导刀屑间隙负压泵吸、深层润滑供给的动力学机制，构建超声振动辅助切削材料去除力学模型。</w:t>
            </w:r>
          </w:p>
        </w:tc>
      </w:tr>
      <w:tr w14:paraId="498E8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709" w:type="dxa"/>
            <w:vAlign w:val="center"/>
          </w:tcPr>
          <w:p w14:paraId="31D30432">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p>
        </w:tc>
        <w:tc>
          <w:tcPr>
            <w:tcW w:w="988" w:type="dxa"/>
            <w:gridSpan w:val="2"/>
            <w:vAlign w:val="center"/>
          </w:tcPr>
          <w:p w14:paraId="2555600E">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highlight w:val="none"/>
              </w:rPr>
              <w:t>王大中</w:t>
            </w:r>
          </w:p>
        </w:tc>
        <w:tc>
          <w:tcPr>
            <w:tcW w:w="1250" w:type="dxa"/>
            <w:gridSpan w:val="2"/>
            <w:vAlign w:val="center"/>
          </w:tcPr>
          <w:p w14:paraId="25161AD6">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教授</w:t>
            </w:r>
          </w:p>
        </w:tc>
        <w:tc>
          <w:tcPr>
            <w:tcW w:w="2026" w:type="dxa"/>
            <w:gridSpan w:val="4"/>
            <w:vAlign w:val="center"/>
          </w:tcPr>
          <w:p w14:paraId="6D058745">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highlight w:val="none"/>
              </w:rPr>
              <w:t>上海工程技术大学</w:t>
            </w:r>
          </w:p>
        </w:tc>
        <w:tc>
          <w:tcPr>
            <w:tcW w:w="1957" w:type="dxa"/>
            <w:gridSpan w:val="3"/>
            <w:shd w:val="clear" w:color="auto" w:fill="auto"/>
            <w:vAlign w:val="center"/>
          </w:tcPr>
          <w:p w14:paraId="508C6365">
            <w:pPr>
              <w:pStyle w:val="9"/>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color w:val="auto"/>
                <w:sz w:val="24"/>
                <w:szCs w:val="24"/>
                <w:highlight w:val="none"/>
              </w:rPr>
              <w:t>上海工程技术大学</w:t>
            </w:r>
          </w:p>
        </w:tc>
        <w:tc>
          <w:tcPr>
            <w:tcW w:w="3509" w:type="dxa"/>
            <w:gridSpan w:val="4"/>
            <w:vAlign w:val="center"/>
          </w:tcPr>
          <w:p w14:paraId="2647554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highlight w:val="none"/>
                <w:lang w:val="en-US" w:eastAsia="zh-CN" w:bidi="ar"/>
              </w:rPr>
              <w:t>对发现点3</w:t>
            </w:r>
            <w:r>
              <w:rPr>
                <w:rFonts w:hint="default" w:ascii="Times New Roman" w:hAnsi="Times New Roman" w:eastAsia="宋体" w:cs="Times New Roman"/>
                <w:color w:val="auto"/>
                <w:sz w:val="24"/>
                <w:szCs w:val="24"/>
                <w:highlight w:val="none"/>
              </w:rPr>
              <w:t>做出创造性</w:t>
            </w:r>
            <w:r>
              <w:rPr>
                <w:rFonts w:hint="default" w:ascii="Times New Roman" w:hAnsi="Times New Roman" w:eastAsia="宋体" w:cs="Times New Roman"/>
                <w:color w:val="000000"/>
                <w:kern w:val="0"/>
                <w:sz w:val="24"/>
                <w:szCs w:val="24"/>
                <w:highlight w:val="none"/>
                <w:lang w:val="en-US" w:eastAsia="zh-CN" w:bidi="ar"/>
              </w:rPr>
              <w:t>贡献：</w:t>
            </w:r>
            <w:r>
              <w:rPr>
                <w:rFonts w:hint="default" w:ascii="Times New Roman" w:hAnsi="Times New Roman" w:eastAsia="宋体" w:cs="Times New Roman"/>
                <w:color w:val="auto"/>
                <w:sz w:val="24"/>
                <w:szCs w:val="24"/>
                <w:highlight w:val="none"/>
              </w:rPr>
              <w:t>参与揭示生物启发微织构刀具的润滑剂定向输运浸润动力学机理，开展微织构刀具镍基合金加工试验研究，阐明微织构形貌对切削界面介质铺展、减摩冷却的调控规律。</w:t>
            </w:r>
          </w:p>
        </w:tc>
      </w:tr>
      <w:tr w14:paraId="3BF37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709" w:type="dxa"/>
            <w:vAlign w:val="center"/>
          </w:tcPr>
          <w:p w14:paraId="11E0DE99">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p>
        </w:tc>
        <w:tc>
          <w:tcPr>
            <w:tcW w:w="988" w:type="dxa"/>
            <w:gridSpan w:val="2"/>
            <w:vAlign w:val="center"/>
          </w:tcPr>
          <w:p w14:paraId="785BFFFC">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刘新</w:t>
            </w:r>
          </w:p>
        </w:tc>
        <w:tc>
          <w:tcPr>
            <w:tcW w:w="1250" w:type="dxa"/>
            <w:gridSpan w:val="2"/>
            <w:vAlign w:val="center"/>
          </w:tcPr>
          <w:p w14:paraId="22A2B5A6">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教授</w:t>
            </w:r>
          </w:p>
        </w:tc>
        <w:tc>
          <w:tcPr>
            <w:tcW w:w="2026" w:type="dxa"/>
            <w:gridSpan w:val="4"/>
            <w:vAlign w:val="center"/>
          </w:tcPr>
          <w:p w14:paraId="5C2A664A">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大连理工大学</w:t>
            </w:r>
          </w:p>
        </w:tc>
        <w:tc>
          <w:tcPr>
            <w:tcW w:w="1957" w:type="dxa"/>
            <w:gridSpan w:val="3"/>
            <w:shd w:val="clear" w:color="auto" w:fill="auto"/>
            <w:vAlign w:val="center"/>
          </w:tcPr>
          <w:p w14:paraId="2290CC0D">
            <w:pPr>
              <w:pStyle w:val="9"/>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szCs w:val="24"/>
                <w:lang w:val="en-US" w:eastAsia="zh-CN"/>
              </w:rPr>
              <w:t>大连理工大学</w:t>
            </w:r>
          </w:p>
        </w:tc>
        <w:tc>
          <w:tcPr>
            <w:tcW w:w="3509" w:type="dxa"/>
            <w:gridSpan w:val="4"/>
            <w:vAlign w:val="center"/>
          </w:tcPr>
          <w:p w14:paraId="79CB3983">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对发现点</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做出创造性贡献：</w:t>
            </w:r>
            <w:r>
              <w:rPr>
                <w:rFonts w:hint="default" w:ascii="Times New Roman" w:hAnsi="Times New Roman" w:eastAsia="宋体" w:cs="Times New Roman"/>
                <w:color w:val="auto"/>
                <w:sz w:val="24"/>
                <w:szCs w:val="24"/>
                <w:highlight w:val="none"/>
              </w:rPr>
              <w:t>参与开展植物油基介质分子定向吸附成膜、毛细浸润动力学相关研究</w:t>
            </w:r>
            <w:r>
              <w:rPr>
                <w:rFonts w:hint="default" w:ascii="Times New Roman" w:hAnsi="Times New Roman" w:eastAsia="宋体" w:cs="Times New Roman"/>
                <w:color w:val="auto"/>
                <w:sz w:val="24"/>
                <w:szCs w:val="24"/>
                <w:highlight w:val="none"/>
                <w:lang w:eastAsia="zh-CN"/>
              </w:rPr>
              <w:t>，揭示不同形貌纳米颗粒差异化减摩强化与界面稳定化机制，参与构建纳米生物润滑剂配伍体系，完善切削界面动态润滑减摩理论。</w:t>
            </w:r>
          </w:p>
        </w:tc>
      </w:tr>
      <w:tr w14:paraId="1A061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709" w:type="dxa"/>
            <w:vAlign w:val="center"/>
          </w:tcPr>
          <w:p w14:paraId="4E66973F">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p>
        </w:tc>
        <w:tc>
          <w:tcPr>
            <w:tcW w:w="988" w:type="dxa"/>
            <w:gridSpan w:val="2"/>
            <w:vAlign w:val="center"/>
          </w:tcPr>
          <w:p w14:paraId="53A3BA75">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曹洋</w:t>
            </w:r>
          </w:p>
        </w:tc>
        <w:tc>
          <w:tcPr>
            <w:tcW w:w="1250" w:type="dxa"/>
            <w:gridSpan w:val="2"/>
            <w:vAlign w:val="center"/>
          </w:tcPr>
          <w:p w14:paraId="7289857D">
            <w:pPr>
              <w:pStyle w:val="9"/>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副教授</w:t>
            </w:r>
          </w:p>
        </w:tc>
        <w:tc>
          <w:tcPr>
            <w:tcW w:w="2026" w:type="dxa"/>
            <w:gridSpan w:val="4"/>
            <w:shd w:val="clear" w:color="auto" w:fill="auto"/>
            <w:vAlign w:val="center"/>
          </w:tcPr>
          <w:p w14:paraId="3711F87B">
            <w:pPr>
              <w:pStyle w:val="9"/>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szCs w:val="24"/>
              </w:rPr>
              <w:t>南京航空航天大学</w:t>
            </w:r>
          </w:p>
        </w:tc>
        <w:tc>
          <w:tcPr>
            <w:tcW w:w="1957" w:type="dxa"/>
            <w:gridSpan w:val="3"/>
            <w:shd w:val="clear" w:color="auto" w:fill="auto"/>
            <w:vAlign w:val="center"/>
          </w:tcPr>
          <w:p w14:paraId="7A5C1BCA">
            <w:pPr>
              <w:pStyle w:val="9"/>
              <w:keepNext w:val="0"/>
              <w:keepLines w:val="0"/>
              <w:pageBreakBefore w:val="0"/>
              <w:widowControl w:val="0"/>
              <w:kinsoku/>
              <w:wordWrap/>
              <w:overflowPunct/>
              <w:topLinePunct w:val="0"/>
              <w:autoSpaceDE/>
              <w:autoSpaceDN/>
              <w:bidi w:val="0"/>
              <w:adjustRightInd/>
              <w:snapToGrid/>
              <w:spacing w:line="240" w:lineRule="auto"/>
              <w:ind w:left="0" w:leftChars="0" w:right="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szCs w:val="24"/>
              </w:rPr>
              <w:t>南京航空航天大学</w:t>
            </w:r>
          </w:p>
        </w:tc>
        <w:tc>
          <w:tcPr>
            <w:tcW w:w="3509" w:type="dxa"/>
            <w:gridSpan w:val="4"/>
            <w:vAlign w:val="center"/>
          </w:tcPr>
          <w:p w14:paraId="31BAAC93">
            <w:pPr>
              <w:pStyle w:val="3"/>
              <w:keepNext w:val="0"/>
              <w:keepLines w:val="0"/>
              <w:pageBreakBefore w:val="0"/>
              <w:widowControl w:val="0"/>
              <w:kinsoku/>
              <w:wordWrap/>
              <w:overflowPunct/>
              <w:topLinePunct w:val="0"/>
              <w:autoSpaceDE/>
              <w:autoSpaceDN/>
              <w:bidi w:val="0"/>
              <w:adjustRightInd/>
              <w:snapToGrid/>
              <w:spacing w:line="240" w:lineRule="auto"/>
              <w:ind w:left="0" w:right="0" w:firstLine="0" w:firstLineChars="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对发现点2做出创造性贡献：提出了超声振动装置设计方程，</w:t>
            </w:r>
            <w:r>
              <w:rPr>
                <w:rFonts w:hint="default" w:ascii="Times New Roman" w:hAnsi="Times New Roman" w:eastAsia="宋体" w:cs="Times New Roman"/>
                <w:sz w:val="24"/>
                <w:szCs w:val="24"/>
                <w:lang w:val="en-US" w:eastAsia="zh-CN"/>
              </w:rPr>
              <w:t>基于</w:t>
            </w:r>
            <w:r>
              <w:rPr>
                <w:rFonts w:hint="default" w:ascii="Times New Roman" w:hAnsi="Times New Roman" w:eastAsia="宋体" w:cs="Times New Roman"/>
                <w:sz w:val="24"/>
                <w:szCs w:val="24"/>
              </w:rPr>
              <w:t>振动特性</w:t>
            </w:r>
            <w:r>
              <w:rPr>
                <w:rFonts w:hint="default" w:ascii="Times New Roman" w:hAnsi="Times New Roman" w:eastAsia="宋体" w:cs="Times New Roman"/>
                <w:sz w:val="24"/>
                <w:szCs w:val="24"/>
                <w:lang w:val="en-US" w:eastAsia="zh-CN"/>
              </w:rPr>
              <w:t>优化了超声振动切削装置</w:t>
            </w:r>
            <w:r>
              <w:rPr>
                <w:rFonts w:hint="default" w:ascii="Times New Roman" w:hAnsi="Times New Roman" w:eastAsia="宋体" w:cs="Times New Roman"/>
                <w:sz w:val="24"/>
                <w:szCs w:val="24"/>
              </w:rPr>
              <w:t>，阐明了超声振动条件下断续切削加工的材料去除机制和刀具磨损机制</w:t>
            </w:r>
            <w:r>
              <w:rPr>
                <w:rFonts w:hint="eastAsia" w:ascii="Times New Roman" w:hAnsi="Times New Roman" w:eastAsia="宋体" w:cs="Times New Roman"/>
                <w:sz w:val="24"/>
                <w:szCs w:val="24"/>
                <w:lang w:eastAsia="zh-CN"/>
              </w:rPr>
              <w:t>。</w:t>
            </w:r>
          </w:p>
        </w:tc>
      </w:tr>
      <w:tr w14:paraId="41949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0439" w:type="dxa"/>
            <w:gridSpan w:val="16"/>
            <w:vAlign w:val="center"/>
          </w:tcPr>
          <w:p w14:paraId="017CB8A6">
            <w:pPr>
              <w:pStyle w:val="9"/>
              <w:spacing w:before="2" w:line="240" w:lineRule="auto"/>
              <w:ind w:left="149" w:right="137"/>
              <w:jc w:val="center"/>
              <w:rPr>
                <w:rFonts w:hint="default" w:ascii="Times New Roman" w:hAnsi="Times New Roman" w:eastAsia="宋体" w:cs="Times New Roman"/>
                <w:sz w:val="24"/>
              </w:rPr>
            </w:pPr>
            <w:r>
              <w:rPr>
                <w:rFonts w:hint="default" w:ascii="Times New Roman" w:hAnsi="Times New Roman" w:eastAsia="宋体" w:cs="Times New Roman"/>
                <w:b/>
                <w:bCs/>
                <w:sz w:val="24"/>
              </w:rPr>
              <w:t>代表性论文（专著）目录（不超过5篇）</w:t>
            </w:r>
          </w:p>
        </w:tc>
      </w:tr>
      <w:tr w14:paraId="18270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043" w:type="dxa"/>
            <w:gridSpan w:val="2"/>
            <w:vAlign w:val="center"/>
          </w:tcPr>
          <w:p w14:paraId="42F73FF9">
            <w:pPr>
              <w:pStyle w:val="9"/>
              <w:keepNext w:val="0"/>
              <w:keepLines w:val="0"/>
              <w:pageBreakBefore w:val="0"/>
              <w:widowControl w:val="0"/>
              <w:kinsoku/>
              <w:wordWrap/>
              <w:overflowPunct/>
              <w:topLinePunct w:val="0"/>
              <w:autoSpaceDE/>
              <w:autoSpaceDN/>
              <w:bidi w:val="0"/>
              <w:adjustRightInd/>
              <w:snapToGrid/>
              <w:spacing w:before="14" w:line="240" w:lineRule="auto"/>
              <w:jc w:val="center"/>
              <w:textAlignment w:val="auto"/>
              <w:rPr>
                <w:rFonts w:hint="default" w:ascii="Times New Roman" w:hAnsi="Times New Roman" w:eastAsia="宋体" w:cs="Times New Roman"/>
                <w:b/>
                <w:sz w:val="24"/>
                <w:szCs w:val="24"/>
              </w:rPr>
            </w:pPr>
          </w:p>
          <w:p w14:paraId="7DA904F9">
            <w:pPr>
              <w:pStyle w:val="9"/>
              <w:keepNext w:val="0"/>
              <w:keepLines w:val="0"/>
              <w:pageBreakBefore w:val="0"/>
              <w:widowControl w:val="0"/>
              <w:kinsoku/>
              <w:wordWrap/>
              <w:overflowPunct/>
              <w:topLinePunct w:val="0"/>
              <w:autoSpaceDE/>
              <w:autoSpaceDN/>
              <w:bidi w:val="0"/>
              <w:adjustRightInd/>
              <w:snapToGrid/>
              <w:spacing w:line="240" w:lineRule="auto"/>
              <w:ind w:left="100" w:leftChars="0" w:right="91" w:rightChars="0"/>
              <w:jc w:val="center"/>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spacing w:val="-5"/>
                <w:sz w:val="24"/>
                <w:szCs w:val="24"/>
              </w:rPr>
              <w:t>序号</w:t>
            </w:r>
          </w:p>
        </w:tc>
        <w:tc>
          <w:tcPr>
            <w:tcW w:w="1043" w:type="dxa"/>
            <w:gridSpan w:val="2"/>
            <w:vAlign w:val="center"/>
          </w:tcPr>
          <w:p w14:paraId="5C85DE0D">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论文专著名称</w:t>
            </w:r>
          </w:p>
        </w:tc>
        <w:tc>
          <w:tcPr>
            <w:tcW w:w="1043" w:type="dxa"/>
            <w:gridSpan w:val="2"/>
            <w:vAlign w:val="center"/>
          </w:tcPr>
          <w:p w14:paraId="3C0266D9">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刊名（出版社）</w:t>
            </w:r>
          </w:p>
        </w:tc>
        <w:tc>
          <w:tcPr>
            <w:tcW w:w="1043" w:type="dxa"/>
            <w:gridSpan w:val="2"/>
            <w:vAlign w:val="center"/>
          </w:tcPr>
          <w:p w14:paraId="172BDDCF">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Doi/ISBN</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ISBN</w:t>
            </w:r>
            <w:r>
              <w:rPr>
                <w:rFonts w:hint="default" w:ascii="Times New Roman" w:hAnsi="Times New Roman" w:eastAsia="宋体" w:cs="Times New Roman"/>
                <w:color w:val="auto"/>
                <w:sz w:val="24"/>
                <w:szCs w:val="24"/>
                <w:highlight w:val="none"/>
                <w:lang w:eastAsia="zh-CN"/>
              </w:rPr>
              <w:t>）</w:t>
            </w:r>
          </w:p>
        </w:tc>
        <w:tc>
          <w:tcPr>
            <w:tcW w:w="1043" w:type="dxa"/>
            <w:gridSpan w:val="2"/>
            <w:vAlign w:val="center"/>
          </w:tcPr>
          <w:p w14:paraId="5026A869">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发表</w:t>
            </w:r>
            <w:r>
              <w:rPr>
                <w:rFonts w:hint="default" w:ascii="Times New Roman" w:hAnsi="Times New Roman" w:eastAsia="宋体" w:cs="Times New Roman"/>
                <w:color w:val="auto"/>
                <w:sz w:val="24"/>
                <w:szCs w:val="24"/>
                <w:highlight w:val="none"/>
                <w:lang w:eastAsia="zh-CN"/>
              </w:rPr>
              <w:t>（出版）</w:t>
            </w:r>
            <w:r>
              <w:rPr>
                <w:rFonts w:hint="default" w:ascii="Times New Roman" w:hAnsi="Times New Roman" w:eastAsia="宋体" w:cs="Times New Roman"/>
                <w:color w:val="auto"/>
                <w:sz w:val="24"/>
                <w:szCs w:val="24"/>
                <w:highlight w:val="none"/>
              </w:rPr>
              <w:t>时间</w:t>
            </w:r>
          </w:p>
        </w:tc>
        <w:tc>
          <w:tcPr>
            <w:tcW w:w="1390" w:type="dxa"/>
            <w:vAlign w:val="center"/>
          </w:tcPr>
          <w:p w14:paraId="7472640E">
            <w:pPr>
              <w:pStyle w:val="3"/>
              <w:adjustRightInd w:val="0"/>
              <w:spacing w:after="50" w:line="240" w:lineRule="auto"/>
              <w:ind w:firstLine="0" w:firstLineChars="0"/>
              <w:jc w:val="center"/>
              <w:outlineLvl w:val="1"/>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作者</w:t>
            </w:r>
          </w:p>
          <w:p w14:paraId="5A5B197F">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（按刊物发表顺序）</w:t>
            </w:r>
          </w:p>
        </w:tc>
        <w:tc>
          <w:tcPr>
            <w:tcW w:w="894" w:type="dxa"/>
            <w:gridSpan w:val="2"/>
            <w:vAlign w:val="center"/>
          </w:tcPr>
          <w:p w14:paraId="7905DF6B">
            <w:pPr>
              <w:pStyle w:val="3"/>
              <w:adjustRightInd w:val="0"/>
              <w:spacing w:after="50" w:line="240" w:lineRule="auto"/>
              <w:ind w:firstLine="0" w:firstLineChars="0"/>
              <w:jc w:val="center"/>
              <w:outlineLvl w:val="1"/>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通讯作者</w:t>
            </w:r>
          </w:p>
          <w:p w14:paraId="6201EF09">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（含共同）</w:t>
            </w:r>
          </w:p>
        </w:tc>
        <w:tc>
          <w:tcPr>
            <w:tcW w:w="845" w:type="dxa"/>
            <w:vAlign w:val="center"/>
          </w:tcPr>
          <w:p w14:paraId="5ECAD751">
            <w:pPr>
              <w:pStyle w:val="3"/>
              <w:adjustRightInd w:val="0"/>
              <w:spacing w:after="50" w:line="240" w:lineRule="auto"/>
              <w:ind w:firstLine="0" w:firstLineChars="0"/>
              <w:jc w:val="center"/>
              <w:outlineLvl w:val="1"/>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第一作者</w:t>
            </w:r>
          </w:p>
          <w:p w14:paraId="03068445">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（含共同）</w:t>
            </w:r>
          </w:p>
        </w:tc>
        <w:tc>
          <w:tcPr>
            <w:tcW w:w="1043" w:type="dxa"/>
            <w:vAlign w:val="center"/>
          </w:tcPr>
          <w:p w14:paraId="0F84739C">
            <w:pPr>
              <w:pStyle w:val="3"/>
              <w:adjustRightInd w:val="0"/>
              <w:spacing w:after="50" w:line="240" w:lineRule="auto"/>
              <w:ind w:firstLine="0" w:firstLineChars="0"/>
              <w:jc w:val="center"/>
              <w:outlineLvl w:val="1"/>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他引</w:t>
            </w:r>
          </w:p>
          <w:p w14:paraId="07D70D1C">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总次数</w:t>
            </w:r>
          </w:p>
        </w:tc>
        <w:tc>
          <w:tcPr>
            <w:tcW w:w="1052" w:type="dxa"/>
            <w:vAlign w:val="center"/>
          </w:tcPr>
          <w:p w14:paraId="72E6D8CC">
            <w:pPr>
              <w:pStyle w:val="3"/>
              <w:adjustRightInd w:val="0"/>
              <w:spacing w:after="50" w:line="240" w:lineRule="auto"/>
              <w:ind w:firstLine="0" w:firstLineChars="0"/>
              <w:jc w:val="center"/>
              <w:outlineLvl w:val="1"/>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检索</w:t>
            </w:r>
          </w:p>
          <w:p w14:paraId="6D79F2E4">
            <w:pPr>
              <w:pStyle w:val="3"/>
              <w:adjustRightInd w:val="0"/>
              <w:spacing w:after="50" w:line="240" w:lineRule="auto"/>
              <w:ind w:firstLine="0" w:firstLineChars="0"/>
              <w:jc w:val="center"/>
              <w:outlineLvl w:val="1"/>
              <w:rPr>
                <w:rFonts w:hint="default" w:ascii="Times New Roman" w:hAnsi="Times New Roman" w:eastAsia="宋体" w:cs="Times New Roman"/>
                <w:b/>
                <w:bCs/>
                <w:sz w:val="24"/>
                <w:szCs w:val="24"/>
              </w:rPr>
            </w:pPr>
            <w:r>
              <w:rPr>
                <w:rFonts w:hint="default" w:ascii="Times New Roman" w:hAnsi="Times New Roman" w:eastAsia="宋体" w:cs="Times New Roman"/>
                <w:color w:val="auto"/>
                <w:sz w:val="24"/>
                <w:szCs w:val="24"/>
                <w:highlight w:val="none"/>
              </w:rPr>
              <w:t>数据库</w:t>
            </w:r>
          </w:p>
        </w:tc>
      </w:tr>
      <w:tr w14:paraId="6DA8F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043" w:type="dxa"/>
            <w:gridSpan w:val="2"/>
            <w:vAlign w:val="center"/>
          </w:tcPr>
          <w:p w14:paraId="14DDD8E6">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043" w:type="dxa"/>
            <w:gridSpan w:val="2"/>
            <w:shd w:val="clear" w:color="auto" w:fill="auto"/>
            <w:vAlign w:val="center"/>
          </w:tcPr>
          <w:p w14:paraId="40FECE4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Vegetable oil-based nanofluid minimum quantity lubrication turning: Academic review and perspectives</w:t>
            </w:r>
          </w:p>
        </w:tc>
        <w:tc>
          <w:tcPr>
            <w:tcW w:w="1043" w:type="dxa"/>
            <w:gridSpan w:val="2"/>
            <w:shd w:val="clear" w:color="auto" w:fill="auto"/>
            <w:vAlign w:val="center"/>
          </w:tcPr>
          <w:p w14:paraId="0C24FAD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 xml:space="preserve">Journal </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rPr>
              <w:t>f Manufacturing Processes</w:t>
            </w:r>
          </w:p>
        </w:tc>
        <w:tc>
          <w:tcPr>
            <w:tcW w:w="1043" w:type="dxa"/>
            <w:gridSpan w:val="2"/>
            <w:shd w:val="clear" w:color="auto" w:fill="auto"/>
            <w:vAlign w:val="center"/>
          </w:tcPr>
          <w:p w14:paraId="0FE7C998">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10.1016/j.jmapro.2020.09.044</w:t>
            </w:r>
          </w:p>
        </w:tc>
        <w:tc>
          <w:tcPr>
            <w:tcW w:w="1043" w:type="dxa"/>
            <w:gridSpan w:val="2"/>
            <w:shd w:val="clear" w:color="auto" w:fill="auto"/>
            <w:vAlign w:val="center"/>
          </w:tcPr>
          <w:p w14:paraId="507E2CAA">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2020-11-01</w:t>
            </w:r>
          </w:p>
        </w:tc>
        <w:tc>
          <w:tcPr>
            <w:tcW w:w="1390" w:type="dxa"/>
            <w:shd w:val="clear" w:color="auto" w:fill="auto"/>
            <w:vAlign w:val="center"/>
          </w:tcPr>
          <w:p w14:paraId="13C042F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 Changhe Li; Yanbin Zhang; Wenfeng Ding; Min Yang; Teng Gao; Huajun Cao; Xuefeng Xu; Dazhong Wang; Zafar Said; Sujan Debnath; Muhammad Jamil; Hafiz Muhammad Ali</w:t>
            </w:r>
          </w:p>
        </w:tc>
        <w:tc>
          <w:tcPr>
            <w:tcW w:w="894" w:type="dxa"/>
            <w:gridSpan w:val="2"/>
            <w:shd w:val="clear" w:color="auto" w:fill="auto"/>
            <w:vAlign w:val="center"/>
          </w:tcPr>
          <w:p w14:paraId="374FED8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Changhe Li; Said, Zafar</w:t>
            </w:r>
          </w:p>
        </w:tc>
        <w:tc>
          <w:tcPr>
            <w:tcW w:w="845" w:type="dxa"/>
            <w:shd w:val="clear" w:color="auto" w:fill="auto"/>
            <w:vAlign w:val="center"/>
          </w:tcPr>
          <w:p w14:paraId="05355D79">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w:t>
            </w:r>
          </w:p>
        </w:tc>
        <w:tc>
          <w:tcPr>
            <w:tcW w:w="1043" w:type="dxa"/>
            <w:shd w:val="clear" w:color="auto" w:fill="auto"/>
            <w:vAlign w:val="center"/>
          </w:tcPr>
          <w:p w14:paraId="10F7AEC9">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205</w:t>
            </w:r>
          </w:p>
        </w:tc>
        <w:tc>
          <w:tcPr>
            <w:tcW w:w="1052" w:type="dxa"/>
            <w:shd w:val="clear" w:color="auto" w:fill="auto"/>
            <w:vAlign w:val="center"/>
          </w:tcPr>
          <w:p w14:paraId="1A7AB7DD">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Web of Science</w:t>
            </w:r>
          </w:p>
        </w:tc>
      </w:tr>
      <w:tr w14:paraId="38960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043" w:type="dxa"/>
            <w:gridSpan w:val="2"/>
            <w:vAlign w:val="center"/>
          </w:tcPr>
          <w:p w14:paraId="2E5A3137">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043" w:type="dxa"/>
            <w:gridSpan w:val="2"/>
            <w:shd w:val="clear" w:color="auto" w:fill="auto"/>
            <w:vAlign w:val="center"/>
          </w:tcPr>
          <w:p w14:paraId="47A823F2">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Influence of texture shape and arrangement on nanofluid minimum quantity lubrication turning</w:t>
            </w:r>
          </w:p>
        </w:tc>
        <w:tc>
          <w:tcPr>
            <w:tcW w:w="1043" w:type="dxa"/>
            <w:gridSpan w:val="2"/>
            <w:shd w:val="clear" w:color="auto" w:fill="auto"/>
            <w:vAlign w:val="center"/>
          </w:tcPr>
          <w:p w14:paraId="101EDDEE">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 xml:space="preserve">International Journal </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rPr>
              <w:t>f Advanced Manufacturing Technology</w:t>
            </w:r>
          </w:p>
        </w:tc>
        <w:tc>
          <w:tcPr>
            <w:tcW w:w="1043" w:type="dxa"/>
            <w:gridSpan w:val="2"/>
            <w:shd w:val="clear" w:color="auto" w:fill="auto"/>
            <w:vAlign w:val="center"/>
          </w:tcPr>
          <w:p w14:paraId="013B894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10.1007/s00170-021-08235-4</w:t>
            </w:r>
          </w:p>
        </w:tc>
        <w:tc>
          <w:tcPr>
            <w:tcW w:w="1043" w:type="dxa"/>
            <w:gridSpan w:val="2"/>
            <w:shd w:val="clear" w:color="auto" w:fill="auto"/>
            <w:vAlign w:val="center"/>
          </w:tcPr>
          <w:p w14:paraId="26472339">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2021-11-06</w:t>
            </w:r>
          </w:p>
        </w:tc>
        <w:tc>
          <w:tcPr>
            <w:tcW w:w="1390" w:type="dxa"/>
            <w:shd w:val="clear" w:color="auto" w:fill="auto"/>
            <w:vAlign w:val="center"/>
          </w:tcPr>
          <w:p w14:paraId="7042B5B3">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 Changhe Li; Yanbin Zhang; Zafar Said; Sujan Debnath; Shubham Sharma; Min Yang; Teng Gao</w:t>
            </w:r>
          </w:p>
        </w:tc>
        <w:tc>
          <w:tcPr>
            <w:tcW w:w="894" w:type="dxa"/>
            <w:gridSpan w:val="2"/>
            <w:shd w:val="clear" w:color="auto" w:fill="auto"/>
            <w:vAlign w:val="center"/>
          </w:tcPr>
          <w:p w14:paraId="6CBB68E8">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Changhe Li</w:t>
            </w:r>
          </w:p>
        </w:tc>
        <w:tc>
          <w:tcPr>
            <w:tcW w:w="845" w:type="dxa"/>
            <w:shd w:val="clear" w:color="auto" w:fill="auto"/>
            <w:vAlign w:val="center"/>
          </w:tcPr>
          <w:p w14:paraId="10BA3886">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w:t>
            </w:r>
          </w:p>
        </w:tc>
        <w:tc>
          <w:tcPr>
            <w:tcW w:w="1043" w:type="dxa"/>
            <w:shd w:val="clear" w:color="auto" w:fill="auto"/>
            <w:vAlign w:val="center"/>
          </w:tcPr>
          <w:p w14:paraId="23324C5E">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145</w:t>
            </w:r>
          </w:p>
        </w:tc>
        <w:tc>
          <w:tcPr>
            <w:tcW w:w="1052" w:type="dxa"/>
            <w:shd w:val="clear" w:color="auto" w:fill="auto"/>
            <w:vAlign w:val="center"/>
          </w:tcPr>
          <w:p w14:paraId="5115A46E">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Web of Science</w:t>
            </w:r>
          </w:p>
        </w:tc>
      </w:tr>
      <w:tr w14:paraId="1C576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8" w:hRule="atLeast"/>
        </w:trPr>
        <w:tc>
          <w:tcPr>
            <w:tcW w:w="1043" w:type="dxa"/>
            <w:gridSpan w:val="2"/>
            <w:vAlign w:val="center"/>
          </w:tcPr>
          <w:p w14:paraId="58BC82A9">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043" w:type="dxa"/>
            <w:gridSpan w:val="2"/>
            <w:shd w:val="clear" w:color="auto" w:fill="auto"/>
            <w:vAlign w:val="center"/>
          </w:tcPr>
          <w:p w14:paraId="2E0750D3">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Tribology of enhanced turning using biolubricants: A comparative assessment</w:t>
            </w:r>
          </w:p>
        </w:tc>
        <w:tc>
          <w:tcPr>
            <w:tcW w:w="1043" w:type="dxa"/>
            <w:gridSpan w:val="2"/>
            <w:shd w:val="clear" w:color="auto" w:fill="auto"/>
            <w:vAlign w:val="center"/>
          </w:tcPr>
          <w:p w14:paraId="116F0BA8">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Tribology International</w:t>
            </w:r>
          </w:p>
        </w:tc>
        <w:tc>
          <w:tcPr>
            <w:tcW w:w="1043" w:type="dxa"/>
            <w:gridSpan w:val="2"/>
            <w:shd w:val="clear" w:color="auto" w:fill="auto"/>
            <w:vAlign w:val="center"/>
          </w:tcPr>
          <w:p w14:paraId="409716EC">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i w:val="0"/>
                <w:iCs w:val="0"/>
                <w:caps w:val="0"/>
                <w:color w:val="000000"/>
                <w:spacing w:val="0"/>
                <w:sz w:val="24"/>
                <w:szCs w:val="24"/>
                <w:shd w:val="clear" w:color="auto" w:fill="FFFFFF"/>
              </w:rPr>
              <w:t>10.1016/j.triboint.2022.107766</w:t>
            </w:r>
          </w:p>
        </w:tc>
        <w:tc>
          <w:tcPr>
            <w:tcW w:w="1043" w:type="dxa"/>
            <w:gridSpan w:val="2"/>
            <w:shd w:val="clear" w:color="auto" w:fill="auto"/>
            <w:vAlign w:val="center"/>
          </w:tcPr>
          <w:p w14:paraId="476525EF">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i w:val="0"/>
                <w:iCs w:val="0"/>
                <w:caps w:val="0"/>
                <w:color w:val="1F1F1F"/>
                <w:spacing w:val="0"/>
                <w:sz w:val="24"/>
                <w:szCs w:val="24"/>
                <w:highlight w:val="none"/>
                <w:lang w:val="en-US" w:eastAsia="zh-CN"/>
              </w:rPr>
              <w:t>2022-10-01</w:t>
            </w:r>
          </w:p>
        </w:tc>
        <w:tc>
          <w:tcPr>
            <w:tcW w:w="1390" w:type="dxa"/>
            <w:shd w:val="clear" w:color="auto" w:fill="auto"/>
            <w:vAlign w:val="center"/>
          </w:tcPr>
          <w:p w14:paraId="14B14CB2">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 Changhe Li; Yanbin Zhang; Hafiz Muhammad Ali; Shubham Sharma; Runze Li; Min Yang; Zafar Said; Xin Liu</w:t>
            </w:r>
          </w:p>
        </w:tc>
        <w:tc>
          <w:tcPr>
            <w:tcW w:w="894" w:type="dxa"/>
            <w:gridSpan w:val="2"/>
            <w:shd w:val="clear" w:color="auto" w:fill="auto"/>
            <w:vAlign w:val="center"/>
          </w:tcPr>
          <w:p w14:paraId="01C4842A">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Changhe Li; Yanbin Zhang</w:t>
            </w:r>
          </w:p>
        </w:tc>
        <w:tc>
          <w:tcPr>
            <w:tcW w:w="845" w:type="dxa"/>
            <w:shd w:val="clear" w:color="auto" w:fill="auto"/>
            <w:vAlign w:val="center"/>
          </w:tcPr>
          <w:p w14:paraId="6A69FDEA">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Xiaoming Wang</w:t>
            </w:r>
          </w:p>
        </w:tc>
        <w:tc>
          <w:tcPr>
            <w:tcW w:w="1043" w:type="dxa"/>
            <w:shd w:val="clear" w:color="auto" w:fill="auto"/>
            <w:vAlign w:val="center"/>
          </w:tcPr>
          <w:p w14:paraId="77BB1B4B">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194</w:t>
            </w:r>
          </w:p>
        </w:tc>
        <w:tc>
          <w:tcPr>
            <w:tcW w:w="1052" w:type="dxa"/>
            <w:shd w:val="clear" w:color="auto" w:fill="auto"/>
            <w:vAlign w:val="center"/>
          </w:tcPr>
          <w:p w14:paraId="447A4A53">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Web of Science</w:t>
            </w:r>
          </w:p>
        </w:tc>
      </w:tr>
      <w:tr w14:paraId="1548C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1043" w:type="dxa"/>
            <w:gridSpan w:val="2"/>
            <w:vAlign w:val="center"/>
          </w:tcPr>
          <w:p w14:paraId="6D457909">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043" w:type="dxa"/>
            <w:gridSpan w:val="2"/>
            <w:shd w:val="clear" w:color="auto" w:fill="auto"/>
            <w:vAlign w:val="center"/>
          </w:tcPr>
          <w:p w14:paraId="679545CE">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Vibration coupling effects and machining behavior of ultrasonic vibration plate device for creep-feed grinding of Inconel 718 nickel-based superalloy</w:t>
            </w:r>
          </w:p>
        </w:tc>
        <w:tc>
          <w:tcPr>
            <w:tcW w:w="1043" w:type="dxa"/>
            <w:gridSpan w:val="2"/>
            <w:shd w:val="clear" w:color="auto" w:fill="auto"/>
            <w:vAlign w:val="center"/>
          </w:tcPr>
          <w:p w14:paraId="4E6545A5">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 xml:space="preserve">Chinese Journal </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rPr>
              <w:t>f Aeronautics</w:t>
            </w:r>
          </w:p>
        </w:tc>
        <w:tc>
          <w:tcPr>
            <w:tcW w:w="1043" w:type="dxa"/>
            <w:gridSpan w:val="2"/>
            <w:shd w:val="clear" w:color="auto" w:fill="auto"/>
            <w:vAlign w:val="center"/>
          </w:tcPr>
          <w:p w14:paraId="4F9DBAEE">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10.1016/j.cja.2020.12.039</w:t>
            </w:r>
          </w:p>
        </w:tc>
        <w:tc>
          <w:tcPr>
            <w:tcW w:w="1043" w:type="dxa"/>
            <w:gridSpan w:val="2"/>
            <w:shd w:val="clear" w:color="auto" w:fill="auto"/>
            <w:vAlign w:val="center"/>
          </w:tcPr>
          <w:p w14:paraId="24B1314C">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i w:val="0"/>
                <w:iCs w:val="0"/>
                <w:caps w:val="0"/>
                <w:color w:val="1F1F1F"/>
                <w:spacing w:val="0"/>
                <w:sz w:val="24"/>
                <w:szCs w:val="24"/>
                <w:highlight w:val="none"/>
                <w:lang w:val="en-US" w:eastAsia="zh-CN"/>
              </w:rPr>
              <w:t>2022-02-01</w:t>
            </w:r>
          </w:p>
        </w:tc>
        <w:tc>
          <w:tcPr>
            <w:tcW w:w="1390" w:type="dxa"/>
            <w:shd w:val="clear" w:color="auto" w:fill="auto"/>
            <w:vAlign w:val="center"/>
          </w:tcPr>
          <w:p w14:paraId="5D5531AC">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Yang CAO; Yejun ZHU; Wenfeng DING; Yutong QIU; Lifeng WANG; Jiuhua XU</w:t>
            </w:r>
          </w:p>
        </w:tc>
        <w:tc>
          <w:tcPr>
            <w:tcW w:w="894" w:type="dxa"/>
            <w:gridSpan w:val="2"/>
            <w:shd w:val="clear" w:color="auto" w:fill="auto"/>
            <w:vAlign w:val="center"/>
          </w:tcPr>
          <w:p w14:paraId="6FE747CD">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Wenfeng DING</w:t>
            </w:r>
          </w:p>
        </w:tc>
        <w:tc>
          <w:tcPr>
            <w:tcW w:w="845" w:type="dxa"/>
            <w:shd w:val="clear" w:color="auto" w:fill="auto"/>
            <w:vAlign w:val="center"/>
          </w:tcPr>
          <w:p w14:paraId="122286FC">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Yang CAO</w:t>
            </w:r>
          </w:p>
        </w:tc>
        <w:tc>
          <w:tcPr>
            <w:tcW w:w="1043" w:type="dxa"/>
            <w:shd w:val="clear" w:color="auto" w:fill="auto"/>
            <w:vAlign w:val="center"/>
          </w:tcPr>
          <w:p w14:paraId="1FF8DFF8">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127</w:t>
            </w:r>
          </w:p>
        </w:tc>
        <w:tc>
          <w:tcPr>
            <w:tcW w:w="1052" w:type="dxa"/>
            <w:shd w:val="clear" w:color="auto" w:fill="auto"/>
            <w:vAlign w:val="center"/>
          </w:tcPr>
          <w:p w14:paraId="51BE12FB">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Web of Science</w:t>
            </w:r>
          </w:p>
        </w:tc>
      </w:tr>
      <w:tr w14:paraId="45306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043" w:type="dxa"/>
            <w:gridSpan w:val="2"/>
            <w:vAlign w:val="center"/>
          </w:tcPr>
          <w:p w14:paraId="4A3D1D07">
            <w:pPr>
              <w:keepNext w:val="0"/>
              <w:keepLines w:val="0"/>
              <w:widowControl/>
              <w:suppressLineNumbers w:val="0"/>
              <w:spacing w:line="240" w:lineRule="auto"/>
              <w:ind w:left="0" w:leftChars="0" w:right="0" w:rightChars="0"/>
              <w:jc w:val="center"/>
              <w:textAlignment w:val="center"/>
              <w:rPr>
                <w:rFonts w:hint="default" w:ascii="Times New Roman" w:hAnsi="Times New Roman" w:eastAsia="宋体" w:cs="Times New Roman"/>
                <w:b/>
                <w:bCs/>
                <w:sz w:val="24"/>
                <w:szCs w:val="24"/>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043" w:type="dxa"/>
            <w:gridSpan w:val="2"/>
            <w:shd w:val="clear" w:color="auto" w:fill="auto"/>
            <w:vAlign w:val="center"/>
          </w:tcPr>
          <w:p w14:paraId="6BE71593">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Study on the performances of the drilling process of nickel-based superalloy Inconel 718 with differently micro-textured drilling tools</w:t>
            </w:r>
          </w:p>
        </w:tc>
        <w:tc>
          <w:tcPr>
            <w:tcW w:w="1043" w:type="dxa"/>
            <w:gridSpan w:val="2"/>
            <w:shd w:val="clear" w:color="auto" w:fill="auto"/>
            <w:vAlign w:val="center"/>
          </w:tcPr>
          <w:p w14:paraId="03F4B692">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 xml:space="preserve">International Journal </w:t>
            </w:r>
            <w:r>
              <w:rPr>
                <w:rFonts w:hint="default" w:ascii="Times New Roman" w:hAnsi="Times New Roman" w:eastAsia="宋体" w:cs="Times New Roman"/>
                <w:color w:val="auto"/>
                <w:sz w:val="24"/>
                <w:szCs w:val="24"/>
                <w:highlight w:val="none"/>
                <w:lang w:val="en-US" w:eastAsia="zh-CN"/>
              </w:rPr>
              <w:t>o</w:t>
            </w:r>
            <w:r>
              <w:rPr>
                <w:rFonts w:hint="default" w:ascii="Times New Roman" w:hAnsi="Times New Roman" w:eastAsia="宋体" w:cs="Times New Roman"/>
                <w:color w:val="auto"/>
                <w:sz w:val="24"/>
                <w:szCs w:val="24"/>
                <w:highlight w:val="none"/>
              </w:rPr>
              <w:t>f Mechanical Sciences</w:t>
            </w:r>
          </w:p>
        </w:tc>
        <w:tc>
          <w:tcPr>
            <w:tcW w:w="1043" w:type="dxa"/>
            <w:gridSpan w:val="2"/>
            <w:shd w:val="clear" w:color="auto" w:fill="auto"/>
            <w:vAlign w:val="center"/>
          </w:tcPr>
          <w:p w14:paraId="44630C4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10.1016/j.ijmecsci.2020.105658</w:t>
            </w:r>
          </w:p>
        </w:tc>
        <w:tc>
          <w:tcPr>
            <w:tcW w:w="1043" w:type="dxa"/>
            <w:gridSpan w:val="2"/>
            <w:shd w:val="clear" w:color="auto" w:fill="auto"/>
            <w:vAlign w:val="center"/>
          </w:tcPr>
          <w:p w14:paraId="75FF6D6D">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2020-08-15</w:t>
            </w:r>
          </w:p>
        </w:tc>
        <w:tc>
          <w:tcPr>
            <w:tcW w:w="1390" w:type="dxa"/>
            <w:shd w:val="clear" w:color="auto" w:fill="auto"/>
            <w:vAlign w:val="center"/>
          </w:tcPr>
          <w:p w14:paraId="7D3D12C2">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Kang Pang; Dazhong Wang</w:t>
            </w:r>
          </w:p>
        </w:tc>
        <w:tc>
          <w:tcPr>
            <w:tcW w:w="894" w:type="dxa"/>
            <w:gridSpan w:val="2"/>
            <w:shd w:val="clear" w:color="auto" w:fill="auto"/>
            <w:vAlign w:val="center"/>
          </w:tcPr>
          <w:p w14:paraId="497B4F07">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Dazhong Wang</w:t>
            </w:r>
          </w:p>
        </w:tc>
        <w:tc>
          <w:tcPr>
            <w:tcW w:w="845" w:type="dxa"/>
            <w:shd w:val="clear" w:color="auto" w:fill="auto"/>
            <w:vAlign w:val="center"/>
          </w:tcPr>
          <w:p w14:paraId="123DF801">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Kang Pang</w:t>
            </w:r>
          </w:p>
        </w:tc>
        <w:tc>
          <w:tcPr>
            <w:tcW w:w="1043" w:type="dxa"/>
            <w:shd w:val="clear" w:color="auto" w:fill="auto"/>
            <w:vAlign w:val="center"/>
          </w:tcPr>
          <w:p w14:paraId="1E3ECAA9">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94</w:t>
            </w:r>
          </w:p>
        </w:tc>
        <w:tc>
          <w:tcPr>
            <w:tcW w:w="1052" w:type="dxa"/>
            <w:shd w:val="clear" w:color="auto" w:fill="auto"/>
            <w:vAlign w:val="center"/>
          </w:tcPr>
          <w:p w14:paraId="4603A696">
            <w:pPr>
              <w:pStyle w:val="3"/>
              <w:adjustRightInd w:val="0"/>
              <w:spacing w:after="50" w:line="240" w:lineRule="auto"/>
              <w:ind w:firstLine="0" w:firstLineChars="0"/>
              <w:jc w:val="center"/>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Web of Science</w:t>
            </w:r>
          </w:p>
        </w:tc>
      </w:tr>
    </w:tbl>
    <w:p w14:paraId="34110EF9">
      <w:pPr>
        <w:spacing w:line="560" w:lineRule="atLeast"/>
        <w:jc w:val="both"/>
        <w:rPr>
          <w:rFonts w:hint="default" w:ascii="Times New Roman" w:hAnsi="Times New Roman" w:eastAsia="宋体" w:cs="Times New Roman"/>
          <w:sz w:val="24"/>
          <w:szCs w:val="24"/>
          <w:highlight w:val="yellow"/>
          <w:lang w:val="en-US" w:eastAsia="zh-CN"/>
        </w:rPr>
      </w:pPr>
    </w:p>
    <w:p w14:paraId="33D90468">
      <w:pPr>
        <w:pStyle w:val="2"/>
      </w:pPr>
    </w:p>
    <w:sectPr>
      <w:footerReference r:id="rId3" w:type="default"/>
      <w:pgSz w:w="11906" w:h="16838"/>
      <w:pgMar w:top="1270"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B6E9">
    <w:pPr>
      <w:pStyle w:val="2"/>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A2722"/>
    <w:rsid w:val="0C921D8C"/>
    <w:rsid w:val="11621A79"/>
    <w:rsid w:val="29087CEA"/>
    <w:rsid w:val="366A2722"/>
    <w:rsid w:val="409A5138"/>
    <w:rsid w:val="413F1A64"/>
    <w:rsid w:val="45D55E51"/>
    <w:rsid w:val="492D061F"/>
    <w:rsid w:val="57022101"/>
    <w:rsid w:val="5ABB4046"/>
    <w:rsid w:val="65544838"/>
    <w:rsid w:val="74B54A08"/>
    <w:rsid w:val="7CD70E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autoSpaceDE w:val="0"/>
      <w:autoSpaceDN w:val="0"/>
      <w:jc w:val="left"/>
    </w:pPr>
    <w:rPr>
      <w:rFonts w:ascii="Calibri" w:hAnsi="Calibri" w:eastAsia="Times New Roman" w:cs="Times New Roman"/>
      <w:kern w:val="0"/>
      <w:sz w:val="26"/>
      <w:szCs w:val="26"/>
      <w:lang w:eastAsia="en-US"/>
    </w:rPr>
  </w:style>
  <w:style w:type="paragraph" w:styleId="3">
    <w:name w:val="Plain Text"/>
    <w:basedOn w:val="1"/>
    <w:qFormat/>
    <w:uiPriority w:val="0"/>
    <w:pPr>
      <w:spacing w:line="400" w:lineRule="exact"/>
      <w:ind w:firstLine="420" w:firstLineChars="200"/>
    </w:pPr>
    <w:rPr>
      <w:bCs/>
      <w:szCs w:val="21"/>
    </w:rPr>
  </w:style>
  <w:style w:type="character" w:styleId="6">
    <w:name w:val="Hyperlink"/>
    <w:basedOn w:val="5"/>
    <w:qFormat/>
    <w:uiPriority w:val="0"/>
    <w:rPr>
      <w:color w:val="0000FF"/>
      <w:u w:val="single"/>
    </w:rPr>
  </w:style>
  <w:style w:type="paragraph" w:customStyle="1" w:styleId="7">
    <w:name w:val="样式1"/>
    <w:basedOn w:val="1"/>
    <w:next w:val="1"/>
    <w:qFormat/>
    <w:uiPriority w:val="0"/>
    <w:pPr>
      <w:adjustRightInd w:val="0"/>
      <w:spacing w:before="320" w:line="300" w:lineRule="auto"/>
      <w:jc w:val="center"/>
      <w:outlineLvl w:val="0"/>
    </w:pPr>
    <w:rPr>
      <w:rFonts w:ascii="Times New Roman" w:hAnsi="Times New Roman" w:eastAsia="方正小标宋简体" w:cs="Times New Roman"/>
      <w:color w:val="000000"/>
      <w:kern w:val="44"/>
      <w:sz w:val="36"/>
      <w:szCs w:val="44"/>
    </w:rPr>
  </w:style>
  <w:style w:type="paragraph" w:customStyle="1" w:styleId="8">
    <w:name w:val="样式3"/>
    <w:basedOn w:val="1"/>
    <w:qFormat/>
    <w:uiPriority w:val="0"/>
    <w:pPr>
      <w:adjustRightInd w:val="0"/>
      <w:spacing w:before="100" w:after="100"/>
      <w:jc w:val="center"/>
      <w:outlineLvl w:val="9"/>
    </w:pPr>
    <w:rPr>
      <w:rFonts w:ascii="Times New Roman" w:hAnsi="Times New Roman" w:eastAsia="方正小标宋简体" w:cs="Times New Roman"/>
      <w:sz w:val="36"/>
    </w:rPr>
  </w:style>
  <w:style w:type="paragraph" w:customStyle="1" w:styleId="9">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1347</Words>
  <Characters>2642</Characters>
  <Lines>0</Lines>
  <Paragraphs>0</Paragraphs>
  <TotalTime>0</TotalTime>
  <ScaleCrop>false</ScaleCrop>
  <LinksUpToDate>false</LinksUpToDate>
  <CharactersWithSpaces>2922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2026-09-11T09:32:00Z</dcterms:created>
  <dc:creator>LJ</dc:creator>
  <cp:lastModifiedBy>赵彪</cp:lastModifiedBy>
  <cp:lastPrinted>2026-09-11T09:39:00Z</cp:lastPrinted>
  <dcterms:modified xsi:type="dcterms:W3CDTF">2026-09-21T02:38:30Z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4A6954402AF8432B8EA48B22B906EDD0_13</vt:lpwstr>
  </property>
  <property fmtid="{D5CDD505-2E9C-101B-9397-08002B2CF9AE}" pid="4" name="KSOTemplateDocerSaveRecord">
    <vt:lpwstr>eyJoZGlkIjoiNTVhMDdmNTY2MThiNTUzZmY4MjI0MGEyOWZlOTQ4YWYiLCJ1c2VySWQiOiI0MzUyODk5NjMifQ==</vt:lpwstr>
  </property>
</Properties>
</file>