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20" w:rsidRPr="003D104E" w:rsidRDefault="003D104E">
      <w:pPr>
        <w:rPr>
          <w:rFonts w:ascii="黑体" w:eastAsia="黑体" w:hAnsi="黑体"/>
          <w:sz w:val="32"/>
          <w:szCs w:val="32"/>
        </w:rPr>
      </w:pPr>
      <w:r w:rsidRPr="003D104E">
        <w:rPr>
          <w:rFonts w:ascii="黑体" w:eastAsia="黑体" w:hAnsi="黑体" w:hint="eastAsia"/>
          <w:sz w:val="32"/>
          <w:szCs w:val="32"/>
        </w:rPr>
        <w:t>附件：</w:t>
      </w:r>
    </w:p>
    <w:p w:rsidR="003D104E" w:rsidRPr="003D104E" w:rsidRDefault="003D104E">
      <w:pPr>
        <w:rPr>
          <w:rFonts w:ascii="宋体" w:eastAsia="宋体" w:hAnsi="宋体"/>
        </w:rPr>
      </w:pPr>
    </w:p>
    <w:p w:rsidR="003D104E" w:rsidRPr="003D104E" w:rsidRDefault="003D104E" w:rsidP="003D104E">
      <w:pPr>
        <w:jc w:val="center"/>
        <w:rPr>
          <w:rFonts w:ascii="宋体" w:eastAsia="宋体" w:hAnsi="宋体"/>
          <w:bCs/>
          <w:sz w:val="36"/>
          <w:szCs w:val="36"/>
        </w:rPr>
      </w:pPr>
      <w:r w:rsidRPr="003D104E">
        <w:rPr>
          <w:rFonts w:ascii="宋体" w:eastAsia="宋体" w:hAnsi="宋体"/>
          <w:sz w:val="36"/>
          <w:szCs w:val="36"/>
        </w:rPr>
        <w:t>中国商业联合会2025年度科学技术奖</w:t>
      </w:r>
      <w:r w:rsidRPr="003D104E">
        <w:rPr>
          <w:rFonts w:ascii="宋体" w:eastAsia="宋体" w:hAnsi="宋体" w:hint="eastAsia"/>
          <w:bCs/>
          <w:sz w:val="36"/>
          <w:szCs w:val="36"/>
        </w:rPr>
        <w:t>项目</w:t>
      </w:r>
      <w:r w:rsidRPr="003D104E">
        <w:rPr>
          <w:rFonts w:ascii="宋体" w:eastAsia="宋体" w:hAnsi="宋体" w:hint="eastAsia"/>
          <w:bCs/>
          <w:sz w:val="36"/>
          <w:szCs w:val="36"/>
        </w:rPr>
        <w:t>公示内容</w:t>
      </w:r>
    </w:p>
    <w:p w:rsid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3D104E">
        <w:rPr>
          <w:rFonts w:ascii="宋体" w:eastAsia="宋体" w:hAnsi="宋体" w:cs="Times New Roman"/>
          <w:b/>
          <w:sz w:val="24"/>
          <w:szCs w:val="24"/>
        </w:rPr>
        <w:t>项目名称：</w:t>
      </w:r>
      <w:r w:rsidRPr="003D104E">
        <w:rPr>
          <w:rFonts w:ascii="宋体" w:eastAsia="宋体" w:hAnsi="宋体" w:cs="Times New Roman" w:hint="eastAsia"/>
          <w:sz w:val="24"/>
          <w:szCs w:val="24"/>
        </w:rPr>
        <w:t>宽场景多能场激光熔覆关键技术及应用</w:t>
      </w: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3D104E">
        <w:rPr>
          <w:rFonts w:ascii="宋体" w:eastAsia="宋体" w:hAnsi="宋体" w:cs="Times New Roman" w:hint="eastAsia"/>
          <w:b/>
          <w:sz w:val="24"/>
          <w:szCs w:val="24"/>
        </w:rPr>
        <w:t>主要完成人：</w:t>
      </w:r>
      <w:r w:rsidRPr="003D104E">
        <w:rPr>
          <w:rFonts w:ascii="宋体" w:eastAsia="宋体" w:hAnsi="宋体" w:cs="Times New Roman" w:hint="eastAsia"/>
          <w:sz w:val="24"/>
          <w:szCs w:val="24"/>
        </w:rPr>
        <w:t>王东生、沈理达、赵禹、刘爽、吕非、谢德巧、胡娟、赵剑峰、李赞松、高雪松、田宗军、周妍</w:t>
      </w: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3D104E">
        <w:rPr>
          <w:rFonts w:ascii="宋体" w:eastAsia="宋体" w:hAnsi="宋体" w:cs="Times New Roman" w:hint="eastAsia"/>
          <w:b/>
          <w:sz w:val="24"/>
          <w:szCs w:val="24"/>
        </w:rPr>
        <w:t>主要</w:t>
      </w:r>
      <w:r w:rsidRPr="003D104E">
        <w:rPr>
          <w:rFonts w:ascii="宋体" w:eastAsia="宋体" w:hAnsi="宋体" w:cs="Times New Roman"/>
          <w:b/>
          <w:sz w:val="24"/>
          <w:szCs w:val="24"/>
        </w:rPr>
        <w:t>完成单位：</w:t>
      </w:r>
      <w:r w:rsidRPr="003D104E">
        <w:rPr>
          <w:rFonts w:ascii="宋体" w:eastAsia="宋体" w:hAnsi="宋体" w:cs="Times New Roman" w:hint="eastAsia"/>
          <w:sz w:val="24"/>
          <w:szCs w:val="24"/>
        </w:rPr>
        <w:t>铜陵学院、南京航空航天大学、安徽工程大学、江苏威拉里新材料科技有限公司、安徽中科春谷激光产业技术研究院有限公司、无锡市检验检测认证研究院</w:t>
      </w: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3D104E">
        <w:rPr>
          <w:rFonts w:ascii="宋体" w:eastAsia="宋体" w:hAnsi="宋体" w:cs="Times New Roman" w:hint="eastAsia"/>
          <w:b/>
          <w:sz w:val="24"/>
          <w:szCs w:val="24"/>
        </w:rPr>
        <w:t>申报奖项</w:t>
      </w:r>
      <w:r w:rsidRPr="003D104E">
        <w:rPr>
          <w:rFonts w:ascii="宋体" w:eastAsia="宋体" w:hAnsi="宋体" w:cs="Times New Roman"/>
          <w:b/>
          <w:sz w:val="24"/>
          <w:szCs w:val="24"/>
        </w:rPr>
        <w:t>：</w:t>
      </w:r>
      <w:r w:rsidRPr="003D104E">
        <w:rPr>
          <w:rFonts w:ascii="宋体" w:eastAsia="宋体" w:hAnsi="宋体" w:cs="Times New Roman" w:hint="eastAsia"/>
          <w:sz w:val="24"/>
          <w:szCs w:val="24"/>
        </w:rPr>
        <w:t>中国商业联合会科学技术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奖科技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进步奖二</w:t>
      </w:r>
      <w:r w:rsidRPr="003D104E">
        <w:rPr>
          <w:rFonts w:ascii="宋体" w:eastAsia="宋体" w:hAnsi="宋体" w:cs="Times New Roman"/>
          <w:sz w:val="24"/>
          <w:szCs w:val="24"/>
        </w:rPr>
        <w:t>等奖</w:t>
      </w: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3D104E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Pr="003D104E">
        <w:rPr>
          <w:rFonts w:ascii="宋体" w:eastAsia="宋体" w:hAnsi="宋体" w:cs="Times New Roman"/>
          <w:b/>
          <w:sz w:val="24"/>
          <w:szCs w:val="24"/>
        </w:rPr>
        <w:t>简介：</w:t>
      </w:r>
    </w:p>
    <w:p w:rsidR="003D104E" w:rsidRPr="003D104E" w:rsidRDefault="003D104E" w:rsidP="003D104E">
      <w:pPr>
        <w:pStyle w:val="a5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3D104E">
        <w:rPr>
          <w:rFonts w:ascii="宋体" w:eastAsia="宋体" w:hAnsi="宋体" w:cs="Times New Roman" w:hint="eastAsia"/>
          <w:sz w:val="24"/>
          <w:szCs w:val="24"/>
        </w:rPr>
        <w:t>本项目针对激光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增熔覆再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制造技术在宽场景下的适应性推广难题，构建了具有自主知识产权的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专用粉材及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宽场景多能场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激光熔覆再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制造关键技术体系，开发了面向宽场景下的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激光熔覆移动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修复系统，实现了高性能镍基、铁基等系列合金修复涂层的可控制备，并成功应用于海洋装备、高原水电站、航空飞行器的现场修复，对提升重要装备的保障能力及服役寿命具有重要意义。主要创新：</w:t>
      </w:r>
      <w:r w:rsidRPr="003D104E">
        <w:rPr>
          <w:rFonts w:ascii="宋体" w:eastAsia="宋体" w:hAnsi="宋体" w:cs="Times New Roman"/>
          <w:sz w:val="24"/>
          <w:szCs w:val="24"/>
        </w:rPr>
        <w:t>(1)</w:t>
      </w:r>
      <w:r w:rsidRPr="003D104E">
        <w:rPr>
          <w:rFonts w:ascii="宋体" w:eastAsia="宋体" w:hAnsi="宋体" w:cs="Times New Roman" w:hint="eastAsia"/>
          <w:sz w:val="24"/>
          <w:szCs w:val="24"/>
        </w:rPr>
        <w:t>研制了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激光熔覆再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制造用镍基、铁基等耐腐蚀、耐高温系列合金涂层；</w:t>
      </w:r>
      <w:r w:rsidRPr="003D104E">
        <w:rPr>
          <w:rFonts w:ascii="宋体" w:eastAsia="宋体" w:hAnsi="宋体" w:cs="Times New Roman"/>
          <w:sz w:val="24"/>
          <w:szCs w:val="24"/>
        </w:rPr>
        <w:t>(2)</w:t>
      </w:r>
      <w:r w:rsidRPr="003D104E">
        <w:rPr>
          <w:rFonts w:ascii="宋体" w:eastAsia="宋体" w:hAnsi="宋体" w:cs="Times New Roman" w:hint="eastAsia"/>
          <w:sz w:val="24"/>
          <w:szCs w:val="24"/>
        </w:rPr>
        <w:t>发明了电磁脉冲、超声冲击等多种特种能场协同的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激光熔覆涂层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新方法；</w:t>
      </w:r>
      <w:r w:rsidRPr="003D104E">
        <w:rPr>
          <w:rFonts w:ascii="宋体" w:eastAsia="宋体" w:hAnsi="宋体" w:cs="Times New Roman"/>
          <w:sz w:val="24"/>
          <w:szCs w:val="24"/>
        </w:rPr>
        <w:t>(3)</w:t>
      </w:r>
      <w:r w:rsidRPr="003D104E">
        <w:rPr>
          <w:rFonts w:ascii="宋体" w:eastAsia="宋体" w:hAnsi="宋体" w:cs="Times New Roman" w:hint="eastAsia"/>
          <w:sz w:val="24"/>
          <w:szCs w:val="24"/>
        </w:rPr>
        <w:t>开发了现场修复用模块化拉杆箱、轮式及履带式平台、集成式移动方舱等各型特色装备，实现了复杂环境的</w:t>
      </w:r>
      <w:proofErr w:type="gramStart"/>
      <w:r w:rsidRPr="003D104E">
        <w:rPr>
          <w:rFonts w:ascii="宋体" w:eastAsia="宋体" w:hAnsi="宋体" w:cs="Times New Roman" w:hint="eastAsia"/>
          <w:sz w:val="24"/>
          <w:szCs w:val="24"/>
        </w:rPr>
        <w:t>激光熔覆再</w:t>
      </w:r>
      <w:proofErr w:type="gramEnd"/>
      <w:r w:rsidRPr="003D104E">
        <w:rPr>
          <w:rFonts w:ascii="宋体" w:eastAsia="宋体" w:hAnsi="宋体" w:cs="Times New Roman" w:hint="eastAsia"/>
          <w:sz w:val="24"/>
          <w:szCs w:val="24"/>
        </w:rPr>
        <w:t>制造工程化应用。</w:t>
      </w:r>
    </w:p>
    <w:p w:rsidR="003D104E" w:rsidRPr="003D104E" w:rsidRDefault="003D104E" w:rsidP="003D104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3D104E">
        <w:rPr>
          <w:rFonts w:ascii="宋体" w:eastAsia="宋体" w:hAnsi="宋体" w:cs="Times New Roman"/>
          <w:b/>
          <w:sz w:val="24"/>
          <w:szCs w:val="24"/>
        </w:rPr>
        <w:t>项目成果</w:t>
      </w:r>
      <w:r w:rsidRPr="003D104E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:rsidR="003D104E" w:rsidRPr="003D104E" w:rsidRDefault="003D104E" w:rsidP="003D104E">
      <w:pPr>
        <w:pStyle w:val="ListParagraph1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D104E">
        <w:rPr>
          <w:rFonts w:ascii="宋体" w:hAnsi="宋体" w:hint="eastAsia"/>
          <w:sz w:val="24"/>
          <w:szCs w:val="24"/>
        </w:rPr>
        <w:t>本项目已授权发明专利</w:t>
      </w:r>
      <w:r w:rsidRPr="003D104E">
        <w:rPr>
          <w:rFonts w:ascii="宋体" w:hAnsi="宋体"/>
          <w:sz w:val="24"/>
          <w:szCs w:val="24"/>
        </w:rPr>
        <w:t>34</w:t>
      </w:r>
      <w:r w:rsidRPr="003D104E">
        <w:rPr>
          <w:rFonts w:ascii="宋体" w:hAnsi="宋体" w:hint="eastAsia"/>
          <w:sz w:val="24"/>
          <w:szCs w:val="24"/>
        </w:rPr>
        <w:t>项、实用新型专利</w:t>
      </w:r>
      <w:r w:rsidRPr="003D104E">
        <w:rPr>
          <w:rFonts w:ascii="宋体" w:hAnsi="宋体"/>
          <w:sz w:val="24"/>
          <w:szCs w:val="24"/>
        </w:rPr>
        <w:t>5</w:t>
      </w:r>
      <w:r w:rsidRPr="003D104E">
        <w:rPr>
          <w:rFonts w:ascii="宋体" w:hAnsi="宋体" w:hint="eastAsia"/>
          <w:sz w:val="24"/>
          <w:szCs w:val="24"/>
        </w:rPr>
        <w:t>项，制订国家标准</w:t>
      </w:r>
      <w:r w:rsidRPr="003D104E">
        <w:rPr>
          <w:rFonts w:ascii="宋体" w:hAnsi="宋体"/>
          <w:sz w:val="24"/>
          <w:szCs w:val="24"/>
        </w:rPr>
        <w:t>7</w:t>
      </w:r>
      <w:r w:rsidRPr="003D104E">
        <w:rPr>
          <w:rFonts w:ascii="宋体" w:hAnsi="宋体" w:hint="eastAsia"/>
          <w:sz w:val="24"/>
          <w:szCs w:val="24"/>
        </w:rPr>
        <w:t>项（第一单位牵头</w:t>
      </w:r>
      <w:r w:rsidRPr="003D104E">
        <w:rPr>
          <w:rFonts w:ascii="宋体" w:hAnsi="宋体"/>
          <w:sz w:val="24"/>
          <w:szCs w:val="24"/>
        </w:rPr>
        <w:t>4</w:t>
      </w:r>
      <w:r w:rsidRPr="003D104E">
        <w:rPr>
          <w:rFonts w:ascii="宋体" w:hAnsi="宋体" w:hint="eastAsia"/>
          <w:sz w:val="24"/>
          <w:szCs w:val="24"/>
        </w:rPr>
        <w:t>项），发表高质量论文</w:t>
      </w:r>
      <w:r w:rsidRPr="003D104E">
        <w:rPr>
          <w:rFonts w:ascii="宋体" w:hAnsi="宋体"/>
          <w:sz w:val="24"/>
          <w:szCs w:val="24"/>
        </w:rPr>
        <w:t>54</w:t>
      </w:r>
      <w:r w:rsidRPr="003D104E">
        <w:rPr>
          <w:rFonts w:ascii="宋体" w:hAnsi="宋体" w:hint="eastAsia"/>
          <w:sz w:val="24"/>
          <w:szCs w:val="24"/>
        </w:rPr>
        <w:t>篇。项目成果解决了国防、能源等复杂环境下的再制造修复难题，已在我国企业得到规模化应用。近三年累积新增销售额</w:t>
      </w:r>
      <w:r w:rsidRPr="003D104E">
        <w:rPr>
          <w:rFonts w:ascii="宋体" w:hAnsi="宋体"/>
          <w:sz w:val="24"/>
          <w:szCs w:val="24"/>
        </w:rPr>
        <w:t>3.9139</w:t>
      </w:r>
      <w:r w:rsidRPr="003D104E">
        <w:rPr>
          <w:rFonts w:ascii="宋体" w:hAnsi="宋体" w:hint="eastAsia"/>
          <w:sz w:val="24"/>
          <w:szCs w:val="24"/>
        </w:rPr>
        <w:t>亿元，新增利润</w:t>
      </w:r>
      <w:r w:rsidRPr="003D104E">
        <w:rPr>
          <w:rFonts w:ascii="宋体" w:hAnsi="宋体"/>
          <w:sz w:val="24"/>
          <w:szCs w:val="24"/>
        </w:rPr>
        <w:t>9283</w:t>
      </w:r>
      <w:r w:rsidRPr="003D104E">
        <w:rPr>
          <w:rFonts w:ascii="宋体" w:hAnsi="宋体" w:hint="eastAsia"/>
          <w:sz w:val="24"/>
          <w:szCs w:val="24"/>
        </w:rPr>
        <w:t>万元，取得了显著的社会、经济和生态环境效益。</w:t>
      </w:r>
    </w:p>
    <w:p w:rsidR="003D104E" w:rsidRPr="003D104E" w:rsidRDefault="003D104E">
      <w:pPr>
        <w:rPr>
          <w:rFonts w:ascii="宋体" w:eastAsia="宋体" w:hAnsi="宋体"/>
          <w:b/>
          <w:bCs/>
          <w:sz w:val="30"/>
          <w:szCs w:val="30"/>
        </w:rPr>
      </w:pPr>
    </w:p>
    <w:p w:rsidR="003D104E" w:rsidRPr="003D104E" w:rsidRDefault="003D104E">
      <w:pPr>
        <w:rPr>
          <w:rFonts w:ascii="宋体" w:eastAsia="宋体" w:hAnsi="宋体" w:hint="eastAsia"/>
        </w:rPr>
      </w:pPr>
    </w:p>
    <w:sectPr w:rsidR="003D104E" w:rsidRPr="003D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BA"/>
    <w:rsid w:val="002C5F20"/>
    <w:rsid w:val="003D104E"/>
    <w:rsid w:val="00B712BA"/>
    <w:rsid w:val="00B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7C41"/>
  <w15:chartTrackingRefBased/>
  <w15:docId w15:val="{DFCF3CAF-8C17-45AE-AB05-27423C6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83E72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83E72"/>
    <w:rPr>
      <w:rFonts w:eastAsia="宋体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qFormat/>
    <w:rsid w:val="00B83E72"/>
    <w:rPr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83E72"/>
    <w:rPr>
      <w:sz w:val="18"/>
      <w:szCs w:val="18"/>
    </w:rPr>
  </w:style>
  <w:style w:type="paragraph" w:customStyle="1" w:styleId="ListParagraph1">
    <w:name w:val="List Paragraph1"/>
    <w:basedOn w:val="a"/>
    <w:qFormat/>
    <w:rsid w:val="003D104E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5">
    <w:name w:val="List Paragraph"/>
    <w:basedOn w:val="a"/>
    <w:uiPriority w:val="34"/>
    <w:qFormat/>
    <w:rsid w:val="003D1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</dc:creator>
  <cp:keywords/>
  <dc:description/>
  <cp:lastModifiedBy>August</cp:lastModifiedBy>
  <cp:revision>2</cp:revision>
  <dcterms:created xsi:type="dcterms:W3CDTF">2025-07-07T08:15:00Z</dcterms:created>
  <dcterms:modified xsi:type="dcterms:W3CDTF">2025-07-07T08:17:00Z</dcterms:modified>
</cp:coreProperties>
</file>