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08AAEDD">
      <w:pPr>
        <w:pStyle w:val="style0"/>
        <w:spacing w:lineRule="auto" w:line="253"/>
        <w:jc w:val="center"/>
        <w:rPr>
          <w:rFonts w:ascii="方正小标宋简体" w:cs="微软雅黑" w:eastAsia="方正小标宋简体" w:hAnsi="微软雅黑" w:hint="eastAsia"/>
          <w:color w:val="000000"/>
          <w:kern w:val="0"/>
          <w:sz w:val="44"/>
          <w:szCs w:val="44"/>
          <w:shd w:val="clear" w:color="auto" w:fill="ffffff"/>
        </w:rPr>
      </w:pPr>
      <w:bookmarkStart w:id="0" w:name="OLE_LINK9"/>
      <w:r>
        <w:rPr>
          <w:rFonts w:ascii="方正小标宋简体" w:cs="微软雅黑" w:eastAsia="方正小标宋简体" w:hAnsi="微软雅黑" w:hint="eastAsia"/>
          <w:color w:val="000000"/>
          <w:kern w:val="0"/>
          <w:sz w:val="44"/>
          <w:szCs w:val="44"/>
          <w:shd w:val="clear" w:color="auto" w:fill="ffffff"/>
          <w:lang w:eastAsia="zh-CN"/>
        </w:rPr>
        <w:t>遥感星座与</w:t>
      </w:r>
      <w:r>
        <w:rPr>
          <w:rFonts w:ascii="方正小标宋简体" w:cs="微软雅黑" w:eastAsia="方正小标宋简体" w:hAnsi="微软雅黑" w:hint="eastAsia"/>
          <w:color w:val="000000"/>
          <w:kern w:val="0"/>
          <w:sz w:val="44"/>
          <w:szCs w:val="44"/>
          <w:shd w:val="clear" w:color="auto" w:fill="ffffff"/>
        </w:rPr>
        <w:t>GW星座激光建链外协项目</w:t>
      </w:r>
    </w:p>
    <w:p w14:paraId="4A2BAE06">
      <w:pPr>
        <w:pStyle w:val="style0"/>
        <w:spacing w:lineRule="auto" w:line="253"/>
        <w:jc w:val="center"/>
        <w:rPr>
          <w:rFonts w:ascii="方正小标宋简体" w:cs="微软雅黑" w:eastAsia="方正小标宋简体" w:hAnsi="微软雅黑" w:hint="eastAsia"/>
          <w:color w:val="000000"/>
          <w:kern w:val="0"/>
          <w:sz w:val="44"/>
          <w:szCs w:val="44"/>
          <w:shd w:val="clear" w:color="auto" w:fill="ffffff"/>
        </w:rPr>
      </w:pPr>
      <w:r>
        <w:rPr>
          <w:rFonts w:ascii="方正小标宋简体" w:cs="微软雅黑" w:eastAsia="方正小标宋简体" w:hAnsi="微软雅黑" w:hint="eastAsia"/>
          <w:color w:val="000000"/>
          <w:kern w:val="0"/>
          <w:sz w:val="44"/>
          <w:szCs w:val="44"/>
          <w:shd w:val="clear" w:color="auto" w:fill="ffffff"/>
        </w:rPr>
        <w:t>供应商需求公告</w:t>
      </w:r>
    </w:p>
    <w:bookmarkStart w:id="1" w:name="OLE_LINK2"/>
    <w:bookmarkEnd w:id="0"/>
    <w:p w14:paraId="2DA71D06">
      <w:pPr>
        <w:pStyle w:val="style0"/>
        <w:spacing w:lineRule="exact" w:line="578"/>
        <w:rPr>
          <w:rFonts w:ascii="黑体" w:cs="微软雅黑" w:eastAsia="黑体" w:hAnsi="黑体"/>
          <w:b/>
          <w:bCs/>
          <w:color w:val="000000"/>
          <w:sz w:val="32"/>
          <w:szCs w:val="32"/>
        </w:rPr>
      </w:pPr>
      <w:r>
        <w:rPr>
          <w:rFonts w:ascii="黑体" w:cs="微软雅黑" w:eastAsia="黑体" w:hAnsi="黑体" w:hint="eastAsia"/>
          <w:b/>
          <w:bCs/>
          <w:color w:val="000000"/>
          <w:kern w:val="0"/>
          <w:sz w:val="32"/>
          <w:szCs w:val="32"/>
          <w:shd w:val="clear" w:color="auto" w:fill="ffffff"/>
        </w:rPr>
        <w:t>一、外协项目概况</w:t>
      </w:r>
    </w:p>
    <w:bookmarkEnd w:id="1"/>
    <w:p w14:paraId="143EC8D1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  <w:t>1.项目概况、需求</w:t>
      </w:r>
    </w:p>
    <w:bookmarkStart w:id="2" w:name="OLE_LINK3"/>
    <w:p w14:paraId="50BC8BFA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  <w:t>面向遥感星座与GW星座天基接入的典型应用，验证“GW网链路＋遥感数据”高效协同新模式，实现</w:t>
      </w:r>
      <w:r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  <w:lang w:eastAsia="zh-CN"/>
        </w:rPr>
        <w:t>遥感</w:t>
      </w:r>
      <w:r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  <w:t>星座与GW星座激光建链，完成遥感数据跨星座传输验证。本外协项目主要包括：</w:t>
      </w:r>
    </w:p>
    <w:p w14:paraId="2C3D8F15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  <w:t>一是试验总体方案设计；</w:t>
      </w:r>
    </w:p>
    <w:p w14:paraId="7DBCDE4A">
      <w:pPr>
        <w:pStyle w:val="style0"/>
        <w:ind w:firstLine="640" w:firstLineChars="200"/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  <w:t>二是路由策略设计及地面验证；</w:t>
      </w:r>
    </w:p>
    <w:p w14:paraId="214F9FC7">
      <w:pPr>
        <w:pStyle w:val="style0"/>
        <w:ind w:firstLine="640" w:firstLineChars="200"/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  <w:t>三是GW运控系统改造；</w:t>
      </w:r>
    </w:p>
    <w:p w14:paraId="2170CE6E">
      <w:pPr>
        <w:pStyle w:val="style0"/>
        <w:ind w:firstLine="640" w:firstLineChars="200"/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  <w:t>四是激光链路适配及地面集成测试；</w:t>
      </w:r>
    </w:p>
    <w:p w14:paraId="442EE0AB">
      <w:pPr>
        <w:pStyle w:val="style0"/>
        <w:ind w:firstLine="640" w:firstLineChars="200"/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  <w:t>五是激光建链在轨测试；</w:t>
      </w:r>
    </w:p>
    <w:p w14:paraId="4D34C882">
      <w:pPr>
        <w:pStyle w:val="style0"/>
        <w:ind w:firstLine="640" w:firstLineChars="200"/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  <w:t>六是技术售后支持。</w:t>
      </w:r>
    </w:p>
    <w:p w14:paraId="696CF1C0">
      <w:pPr>
        <w:pStyle w:val="style66"/>
        <w:widowControl/>
        <w:ind w:firstLine="640"/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  <w:t>2.交付物</w:t>
      </w:r>
    </w:p>
    <w:p w14:paraId="3705DBC7">
      <w:pPr>
        <w:pStyle w:val="style66"/>
        <w:widowControl/>
        <w:ind w:firstLine="640"/>
        <w:rPr/>
      </w:pPr>
      <w:r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  <w:t>交付物：（1）试验总体技术方案及相关说明材料；（2）路由策略设计方案；（3）GW运控系统改造接口开发、适配、软件配置成果及互联互通测试报告；（4）GW激光接入相关标准规范及地面集成测试报告；（5）激光建链在轨测试报告；（6）项目各阶段技术文档、测试记录与评审材料。</w:t>
      </w:r>
    </w:p>
    <w:p w14:paraId="7542603B">
      <w:pPr>
        <w:pStyle w:val="style66"/>
        <w:widowControl/>
        <w:ind w:firstLine="640"/>
        <w:rPr>
          <w:rFonts w:ascii="仿宋_GB2312" w:eastAsia="仿宋_GB2312" w:hAnsi="仿宋" w:hint="eastAsia"/>
          <w:sz w:val="32"/>
          <w:szCs w:val="32"/>
          <w:u w:color="000000"/>
        </w:rPr>
      </w:pPr>
      <w:r>
        <w:rPr>
          <w:rFonts w:ascii="仿宋_GB2312" w:eastAsia="仿宋_GB2312" w:hAnsi="仿宋" w:hint="eastAsia"/>
          <w:sz w:val="32"/>
          <w:szCs w:val="32"/>
          <w:u w:color="000000"/>
        </w:rPr>
        <w:t>3.</w:t>
      </w:r>
      <w:r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  <w:t>技术内容</w:t>
      </w:r>
    </w:p>
    <w:p w14:paraId="4151CDA6">
      <w:pPr>
        <w:pStyle w:val="style0"/>
        <w:ind w:firstLine="640" w:firstLineChars="200"/>
        <w:rPr>
          <w:rFonts w:ascii="仿宋_GB2312" w:eastAsia="仿宋_GB2312" w:hAnsi="仿宋" w:hint="eastAsia"/>
          <w:sz w:val="32"/>
          <w:szCs w:val="32"/>
          <w:u w:color="000000"/>
        </w:rPr>
      </w:pPr>
      <w:r>
        <w:rPr>
          <w:rFonts w:ascii="仿宋_GB2312" w:eastAsia="仿宋_GB2312" w:hAnsi="仿宋" w:hint="eastAsia"/>
          <w:sz w:val="32"/>
          <w:szCs w:val="32"/>
          <w:u w:color="000000"/>
        </w:rPr>
        <w:t>（1）试验总体方案设计：分析试验需求、指标及约束条件，设计试验总体架构、系统组成、接口关系等内容；明确激光建链及数据回传相关试验项目与方案；确定试验实施流程、阶段划分、组织分工、进度安排、资源保障和风险控制等内容，并配合甲方完成评审确认。</w:t>
      </w:r>
    </w:p>
    <w:p w14:paraId="19B50866">
      <w:pPr>
        <w:pStyle w:val="style0"/>
        <w:ind w:firstLine="640" w:firstLineChars="200"/>
        <w:rPr>
          <w:rFonts w:ascii="仿宋_GB2312" w:eastAsia="仿宋_GB2312" w:hAnsi="仿宋" w:hint="eastAsia"/>
          <w:sz w:val="32"/>
          <w:szCs w:val="32"/>
          <w:u w:color="000000"/>
        </w:rPr>
      </w:pPr>
      <w:r>
        <w:rPr>
          <w:rFonts w:ascii="仿宋_GB2312" w:eastAsia="仿宋_GB2312" w:hAnsi="仿宋" w:hint="eastAsia"/>
          <w:sz w:val="32"/>
          <w:szCs w:val="32"/>
          <w:u w:color="000000"/>
        </w:rPr>
        <w:t>（2）路由策略设计及地面验证：在总体方案设计基础上，分析遥感星座数据通过GW星座回传的数据传输需求及约束条件；设计对遥感数据进行路由回传的策略与业务流程；依据地面试验环境设计地面验证测试用例，并配合甲方完成路由策略相关的地面测试项。</w:t>
      </w:r>
    </w:p>
    <w:p w14:paraId="62A6D141">
      <w:pPr>
        <w:pStyle w:val="style0"/>
        <w:ind w:firstLine="640" w:firstLineChars="200"/>
        <w:rPr>
          <w:rFonts w:ascii="仿宋_GB2312" w:eastAsia="仿宋_GB2312" w:hAnsi="仿宋" w:hint="eastAsia"/>
          <w:sz w:val="32"/>
          <w:szCs w:val="32"/>
          <w:u w:color="000000"/>
        </w:rPr>
      </w:pPr>
      <w:r>
        <w:rPr>
          <w:rFonts w:ascii="仿宋_GB2312" w:eastAsia="仿宋_GB2312" w:hAnsi="仿宋" w:hint="eastAsia"/>
          <w:sz w:val="32"/>
          <w:szCs w:val="32"/>
          <w:u w:color="000000"/>
        </w:rPr>
        <w:t>（3）GW运控系统改造：调研双方运控系统现状，梳理接口、协议以及数据格式等；完成接口开发、适配以及软件改造、配置部署及联调；开展单系统测试、双方互联互通测试以及试验场景验证等；编制测试报告，配合评审及验收。</w:t>
      </w:r>
    </w:p>
    <w:p w14:paraId="69352CAC">
      <w:pPr>
        <w:pStyle w:val="style0"/>
        <w:ind w:firstLine="640" w:firstLineChars="200"/>
        <w:rPr>
          <w:rFonts w:ascii="仿宋_GB2312" w:eastAsia="仿宋_GB2312" w:hAnsi="仿宋" w:hint="eastAsia"/>
          <w:sz w:val="32"/>
          <w:szCs w:val="32"/>
          <w:u w:color="000000"/>
        </w:rPr>
      </w:pPr>
      <w:r>
        <w:rPr>
          <w:rFonts w:ascii="仿宋_GB2312" w:eastAsia="仿宋_GB2312" w:hAnsi="仿宋" w:hint="eastAsia"/>
          <w:sz w:val="32"/>
          <w:szCs w:val="32"/>
          <w:u w:color="000000"/>
        </w:rPr>
        <w:t>（4）激光链路适配及地面集成测试：提供GW激光接入相关标准规范；配合开展GW星座与</w:t>
      </w:r>
      <w:r>
        <w:rPr>
          <w:rFonts w:ascii="仿宋_GB2312" w:eastAsia="仿宋_GB2312" w:hAnsi="仿宋" w:hint="eastAsia"/>
          <w:sz w:val="32"/>
          <w:szCs w:val="32"/>
          <w:u w:color="000000"/>
          <w:lang w:eastAsia="zh-CN"/>
        </w:rPr>
        <w:t>遥感</w:t>
      </w:r>
      <w:r>
        <w:rPr>
          <w:rFonts w:ascii="仿宋_GB2312" w:eastAsia="仿宋_GB2312" w:hAnsi="仿宋" w:hint="eastAsia"/>
          <w:sz w:val="32"/>
          <w:szCs w:val="32"/>
          <w:u w:color="000000"/>
        </w:rPr>
        <w:t>星座建链与通信的地面集成验证。一般问题以远程支持方式解决，重大问题现场处理。</w:t>
      </w:r>
    </w:p>
    <w:p w14:paraId="17BE1982">
      <w:pPr>
        <w:pStyle w:val="style0"/>
        <w:ind w:firstLine="640" w:firstLineChars="200"/>
        <w:rPr>
          <w:rFonts w:ascii="仿宋_GB2312" w:eastAsia="仿宋_GB2312" w:hAnsi="仿宋" w:hint="eastAsia"/>
          <w:sz w:val="32"/>
          <w:szCs w:val="32"/>
          <w:u w:color="000000"/>
        </w:rPr>
      </w:pPr>
      <w:r>
        <w:rPr>
          <w:rFonts w:ascii="仿宋_GB2312" w:eastAsia="仿宋_GB2312" w:hAnsi="仿宋" w:hint="eastAsia"/>
          <w:sz w:val="32"/>
          <w:szCs w:val="32"/>
          <w:u w:color="000000"/>
        </w:rPr>
        <w:t>（5）激光建链在轨测试：配合开展GW星座与</w:t>
      </w:r>
      <w:r>
        <w:rPr>
          <w:rFonts w:ascii="仿宋_GB2312" w:eastAsia="仿宋_GB2312" w:hAnsi="仿宋" w:hint="eastAsia"/>
          <w:sz w:val="32"/>
          <w:szCs w:val="32"/>
          <w:u w:color="000000"/>
          <w:lang w:eastAsia="zh-CN"/>
        </w:rPr>
        <w:t>遥感</w:t>
      </w:r>
      <w:r>
        <w:rPr>
          <w:rFonts w:ascii="仿宋_GB2312" w:eastAsia="仿宋_GB2312" w:hAnsi="仿宋" w:hint="eastAsia"/>
          <w:sz w:val="32"/>
          <w:szCs w:val="32"/>
          <w:u w:color="000000"/>
        </w:rPr>
        <w:t>星座建链与通信在轨测试，以联合试验方式提供技术服务，确保在轨激光建链与异构网络路由功能按期实现。</w:t>
      </w:r>
    </w:p>
    <w:p w14:paraId="7C414026">
      <w:pPr>
        <w:pStyle w:val="style0"/>
        <w:ind w:firstLine="640" w:firstLineChars="200"/>
        <w:rPr>
          <w:rFonts w:ascii="仿宋_GB2312" w:eastAsia="仿宋_GB2312" w:hAnsi="仿宋" w:hint="eastAsia"/>
          <w:sz w:val="32"/>
          <w:szCs w:val="32"/>
          <w:u w:color="000000"/>
        </w:rPr>
      </w:pPr>
      <w:r>
        <w:rPr>
          <w:rFonts w:ascii="仿宋_GB2312" w:eastAsia="仿宋_GB2312" w:hAnsi="仿宋" w:hint="eastAsia"/>
          <w:sz w:val="32"/>
          <w:szCs w:val="32"/>
          <w:u w:color="000000"/>
        </w:rPr>
        <w:t>（6）技术售后支持：质保期内提供方案文件、运控系统互联互通方式、软件配置、数据交互等技术咨询、答疑和问题诊断；配合地面验证和在轨验证，参与异常分析、处置和闭环。一般问题远程支持，重大问题现场处理。</w:t>
      </w:r>
    </w:p>
    <w:p w14:paraId="49B0CB80">
      <w:pPr>
        <w:pStyle w:val="style0"/>
        <w:ind w:firstLine="640" w:firstLineChars="200"/>
        <w:rPr>
          <w:rFonts w:ascii="仿宋_GB2312" w:eastAsia="仿宋_GB2312" w:hAnsi="仿宋" w:hint="eastAsia"/>
          <w:sz w:val="32"/>
          <w:szCs w:val="32"/>
          <w:u w:color="000000"/>
        </w:rPr>
      </w:pPr>
      <w:r>
        <w:rPr>
          <w:rFonts w:ascii="仿宋_GB2312" w:eastAsia="仿宋_GB2312" w:hAnsi="仿宋" w:hint="eastAsia"/>
          <w:sz w:val="32"/>
          <w:szCs w:val="32"/>
          <w:u w:color="000000"/>
        </w:rPr>
        <w:t>本项目技术服务质量须符合GW星座激光通信相关技术标准和接口规范，实现</w:t>
      </w:r>
      <w:r>
        <w:rPr>
          <w:rFonts w:ascii="仿宋_GB2312" w:eastAsia="仿宋_GB2312" w:hAnsi="仿宋" w:hint="eastAsia"/>
          <w:sz w:val="32"/>
          <w:szCs w:val="32"/>
          <w:u w:color="000000"/>
          <w:lang w:eastAsia="zh-CN"/>
        </w:rPr>
        <w:t>遥感</w:t>
      </w:r>
      <w:r>
        <w:rPr>
          <w:rFonts w:ascii="仿宋_GB2312" w:eastAsia="仿宋_GB2312" w:hAnsi="仿宋" w:hint="eastAsia"/>
          <w:sz w:val="32"/>
          <w:szCs w:val="32"/>
          <w:u w:color="000000"/>
        </w:rPr>
        <w:t>星座与GW星座激光建链成功，异构网络路由验证通过，在轨测试数据完整有效，满足遥感数据跨星座传输验证要求。</w:t>
      </w:r>
    </w:p>
    <w:p w14:paraId="7D75CA37">
      <w:pPr>
        <w:pStyle w:val="style66"/>
        <w:widowControl/>
        <w:ind w:firstLine="640"/>
        <w:rPr>
          <w:rFonts w:ascii="仿宋_GB2312" w:eastAsia="仿宋_GB2312" w:hAnsi="仿宋" w:hint="eastAsia"/>
          <w:sz w:val="32"/>
          <w:szCs w:val="32"/>
          <w:u w:color="000000"/>
        </w:rPr>
      </w:pPr>
      <w:r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  <w:t>4.周期及质量要求</w:t>
      </w:r>
    </w:p>
    <w:p w14:paraId="0BF9D79B">
      <w:pPr>
        <w:pStyle w:val="style66"/>
        <w:widowControl/>
        <w:ind w:firstLine="640"/>
        <w:rPr>
          <w:rFonts w:ascii="宋体" w:cs="宋体" w:hAnsi="宋体"/>
        </w:rPr>
      </w:pPr>
      <w:r>
        <w:rPr>
          <w:rFonts w:ascii="仿宋_GB2312" w:eastAsia="仿宋_GB2312" w:hAnsi="仿宋_GB2312" w:hint="eastAsia"/>
          <w:sz w:val="32"/>
        </w:rPr>
        <w:t>项目实施周期：自合同生效之日起30个月内完成激光建链试验验证并提交测试报告。</w:t>
      </w:r>
    </w:p>
    <w:p w14:paraId="3C15355C">
      <w:pPr>
        <w:pStyle w:val="style66"/>
        <w:widowControl/>
        <w:ind w:firstLine="640"/>
        <w:rPr>
          <w:rFonts w:ascii="仿宋" w:cs="微软雅黑" w:eastAsia="仿宋_GB2312" w:hAnsi="仿宋" w:hint="eastAsia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</w:rPr>
        <w:t>技术服务质量要求：符合GW星座激光通信相关技术标准和接口规范，实现</w:t>
      </w:r>
      <w:r>
        <w:rPr>
          <w:rFonts w:ascii="仿宋_GB2312" w:eastAsia="仿宋_GB2312" w:hAnsi="仿宋_GB2312" w:hint="eastAsia"/>
          <w:sz w:val="32"/>
          <w:lang w:eastAsia="zh-CN"/>
        </w:rPr>
        <w:t>遥感</w:t>
      </w:r>
      <w:r>
        <w:rPr>
          <w:rFonts w:ascii="仿宋_GB2312" w:eastAsia="仿宋_GB2312" w:hAnsi="仿宋_GB2312" w:hint="eastAsia"/>
          <w:sz w:val="32"/>
        </w:rPr>
        <w:t>星座与GW星座激光建链成功，异构网络路由验证通过，在轨测试数据完整有效，满足遥感数据跨星座传输验证要求。每项技术支持期12个月，自最终验收合格之日起计算；技术支持期内乙方提供7×24小时技术远程响应。</w:t>
      </w:r>
    </w:p>
    <w:p w14:paraId="2E1D9F45">
      <w:pPr>
        <w:pStyle w:val="style0"/>
        <w:spacing w:lineRule="exact" w:line="578"/>
        <w:rPr>
          <w:rFonts w:ascii="黑体" w:cs="微软雅黑" w:eastAsia="黑体" w:hAnsi="黑体"/>
          <w:b/>
          <w:bCs/>
          <w:color w:val="000000"/>
          <w:sz w:val="32"/>
          <w:szCs w:val="32"/>
        </w:rPr>
      </w:pPr>
      <w:r>
        <w:rPr>
          <w:rFonts w:ascii="黑体" w:cs="微软雅黑" w:eastAsia="黑体" w:hAnsi="黑体" w:hint="eastAsia"/>
          <w:b/>
          <w:bCs/>
          <w:color w:val="000000"/>
          <w:kern w:val="0"/>
          <w:sz w:val="32"/>
          <w:szCs w:val="32"/>
          <w:shd w:val="clear" w:color="auto" w:fill="ffffff"/>
        </w:rPr>
        <w:t>二、供应商资格条件</w:t>
      </w:r>
    </w:p>
    <w:bookmarkEnd w:id="2"/>
    <w:p w14:paraId="51E90886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 w:hint="eastAsia"/>
          <w:sz w:val="32"/>
          <w:szCs w:val="32"/>
        </w:rPr>
        <w:t>1.具有独立承担民事责任的能力；</w:t>
      </w:r>
    </w:p>
    <w:p w14:paraId="146E08DA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 w:hint="eastAsia"/>
          <w:sz w:val="32"/>
          <w:szCs w:val="32"/>
        </w:rPr>
        <w:t>2</w:t>
      </w:r>
      <w:r>
        <w:rPr>
          <w:rFonts w:ascii="仿宋" w:cs="微软雅黑" w:eastAsia="仿宋" w:hAnsi="仿宋"/>
          <w:sz w:val="32"/>
          <w:szCs w:val="32"/>
        </w:rPr>
        <w:t>.</w:t>
      </w:r>
      <w:r>
        <w:rPr>
          <w:rFonts w:ascii="仿宋" w:cs="微软雅黑" w:eastAsia="仿宋" w:hAnsi="仿宋" w:hint="eastAsia"/>
          <w:sz w:val="32"/>
          <w:szCs w:val="32"/>
        </w:rPr>
        <w:t>具有良好的商业信誉和健全的财务会计制度；</w:t>
      </w:r>
    </w:p>
    <w:p w14:paraId="6D84537D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/>
          <w:sz w:val="32"/>
          <w:szCs w:val="32"/>
        </w:rPr>
        <w:t>3.</w:t>
      </w:r>
      <w:r>
        <w:rPr>
          <w:rFonts w:ascii="仿宋" w:cs="微软雅黑" w:eastAsia="仿宋" w:hAnsi="仿宋" w:hint="eastAsia"/>
          <w:sz w:val="32"/>
          <w:szCs w:val="32"/>
        </w:rPr>
        <w:t>具有履行外协项目所必需的设备和专业技术能力；</w:t>
      </w:r>
    </w:p>
    <w:p w14:paraId="4E25E649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/>
          <w:sz w:val="32"/>
          <w:szCs w:val="32"/>
        </w:rPr>
        <w:t>4.</w:t>
      </w:r>
      <w:r>
        <w:rPr>
          <w:rFonts w:ascii="仿宋" w:cs="微软雅黑" w:eastAsia="仿宋" w:hAnsi="仿宋" w:hint="eastAsia"/>
          <w:sz w:val="32"/>
          <w:szCs w:val="32"/>
        </w:rPr>
        <w:t>具有依法缴纳税收和社会保障资金的良好记录；</w:t>
      </w:r>
    </w:p>
    <w:p w14:paraId="241AE115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/>
          <w:sz w:val="32"/>
          <w:szCs w:val="32"/>
        </w:rPr>
        <w:t>5.</w:t>
      </w:r>
      <w:r>
        <w:rPr>
          <w:rFonts w:ascii="仿宋" w:cs="微软雅黑" w:eastAsia="仿宋" w:hAnsi="仿宋" w:hint="eastAsia"/>
          <w:sz w:val="32"/>
          <w:szCs w:val="32"/>
        </w:rPr>
        <w:t>参加此项外协项目前三年内，在经营活动中没有重大违法记录；</w:t>
      </w:r>
    </w:p>
    <w:p w14:paraId="62598D61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  <w:lang w:eastAsia="zh-CN"/>
        </w:rPr>
      </w:pPr>
      <w:r>
        <w:rPr>
          <w:rFonts w:ascii="仿宋" w:cs="微软雅黑" w:eastAsia="仿宋" w:hAnsi="仿宋"/>
          <w:sz w:val="32"/>
          <w:szCs w:val="32"/>
        </w:rPr>
        <w:t>6.</w:t>
      </w:r>
      <w:r>
        <w:rPr>
          <w:rFonts w:ascii="仿宋" w:cs="微软雅黑" w:eastAsia="仿宋" w:hAnsi="仿宋" w:hint="eastAsia"/>
          <w:sz w:val="32"/>
          <w:szCs w:val="32"/>
        </w:rPr>
        <w:t>法律、行政法规规定的其他条件</w:t>
      </w:r>
      <w:r>
        <w:rPr>
          <w:rFonts w:ascii="仿宋" w:cs="微软雅黑" w:eastAsia="仿宋" w:hAnsi="仿宋" w:hint="eastAsia"/>
          <w:sz w:val="32"/>
          <w:szCs w:val="32"/>
          <w:lang w:eastAsia="zh-CN"/>
        </w:rPr>
        <w:t>；</w:t>
      </w:r>
    </w:p>
    <w:p w14:paraId="33E8EE76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 w:hint="eastAsia"/>
          <w:sz w:val="32"/>
          <w:szCs w:val="32"/>
        </w:rPr>
        <w:t>7</w:t>
      </w:r>
      <w:r>
        <w:rPr>
          <w:rFonts w:ascii="仿宋" w:cs="微软雅黑" w:eastAsia="仿宋" w:hAnsi="仿宋"/>
          <w:sz w:val="32"/>
          <w:szCs w:val="32"/>
        </w:rPr>
        <w:t>.</w:t>
      </w:r>
      <w:r>
        <w:rPr>
          <w:rFonts w:ascii="仿宋" w:cs="微软雅黑" w:eastAsia="仿宋" w:hAnsi="仿宋" w:hint="eastAsia"/>
          <w:sz w:val="32"/>
          <w:szCs w:val="32"/>
        </w:rPr>
        <w:t>拒绝下述供应商参加本次外协项目:</w:t>
      </w:r>
    </w:p>
    <w:p w14:paraId="0D6DDCBC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/>
          <w:sz w:val="32"/>
          <w:szCs w:val="32"/>
        </w:rPr>
        <w:t>7</w:t>
      </w:r>
      <w:r>
        <w:rPr>
          <w:rFonts w:ascii="仿宋" w:cs="微软雅黑" w:eastAsia="仿宋" w:hAnsi="仿宋" w:hint="eastAsia"/>
          <w:sz w:val="32"/>
          <w:szCs w:val="32"/>
        </w:rPr>
        <w:t>.1为外协项目提供整体设计、规范编制或者项目管理、监理、检测等服务的；</w:t>
      </w:r>
    </w:p>
    <w:p w14:paraId="3B447979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/>
          <w:sz w:val="32"/>
          <w:szCs w:val="32"/>
        </w:rPr>
        <w:t>7</w:t>
      </w:r>
      <w:r>
        <w:rPr>
          <w:rFonts w:ascii="仿宋" w:cs="微软雅黑" w:eastAsia="仿宋" w:hAnsi="仿宋" w:hint="eastAsia"/>
          <w:sz w:val="32"/>
          <w:szCs w:val="32"/>
        </w:rPr>
        <w:t>.2供应商单位负责人为同一人或者存在直接控股、管理关系的不同供应商，不得参加同一主项目下的外协项目；</w:t>
      </w:r>
    </w:p>
    <w:p w14:paraId="7DAE05D7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  <w:lang w:eastAsia="zh-CN"/>
        </w:rPr>
      </w:pPr>
      <w:r>
        <w:rPr>
          <w:rFonts w:ascii="仿宋" w:cs="微软雅黑" w:eastAsia="仿宋" w:hAnsi="仿宋"/>
          <w:sz w:val="32"/>
          <w:szCs w:val="32"/>
        </w:rPr>
        <w:t>7</w:t>
      </w:r>
      <w:r>
        <w:rPr>
          <w:rFonts w:ascii="仿宋" w:cs="微软雅黑" w:eastAsia="仿宋" w:hAnsi="仿宋" w:hint="eastAsia"/>
          <w:sz w:val="32"/>
          <w:szCs w:val="32"/>
        </w:rPr>
        <w:t>.3被“信用中国”网站(www.creditchina.gov.cn)列入失信被执行人、重大税收违法失信主体、采购严重违法失信行为记录名单的</w:t>
      </w:r>
      <w:r>
        <w:rPr>
          <w:rFonts w:ascii="仿宋" w:cs="微软雅黑" w:eastAsia="仿宋" w:hAnsi="仿宋" w:hint="eastAsia"/>
          <w:sz w:val="32"/>
          <w:szCs w:val="32"/>
          <w:lang w:eastAsia="zh-CN"/>
        </w:rPr>
        <w:t>；</w:t>
      </w:r>
    </w:p>
    <w:p w14:paraId="33D20F74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 w:hint="eastAsia"/>
          <w:sz w:val="32"/>
          <w:szCs w:val="32"/>
        </w:rPr>
        <w:t>7</w:t>
      </w:r>
      <w:r>
        <w:rPr>
          <w:rFonts w:ascii="仿宋" w:cs="微软雅黑" w:eastAsia="仿宋" w:hAnsi="仿宋"/>
          <w:sz w:val="32"/>
          <w:szCs w:val="32"/>
        </w:rPr>
        <w:t xml:space="preserve">.4 </w:t>
      </w:r>
      <w:r>
        <w:rPr>
          <w:rFonts w:ascii="仿宋" w:cs="微软雅黑" w:eastAsia="仿宋" w:hAnsi="仿宋" w:hint="eastAsia"/>
          <w:sz w:val="32"/>
          <w:szCs w:val="32"/>
        </w:rPr>
        <w:t>因为违法违规和不良行为，被有关行政监督部门公示且公示期限未满的。</w:t>
      </w:r>
    </w:p>
    <w:p w14:paraId="2C455970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 w:hint="eastAsia"/>
          <w:sz w:val="32"/>
          <w:szCs w:val="32"/>
        </w:rPr>
        <w:t>8</w:t>
      </w:r>
      <w:r>
        <w:rPr>
          <w:rFonts w:ascii="仿宋" w:cs="微软雅黑" w:eastAsia="仿宋" w:hAnsi="仿宋"/>
          <w:sz w:val="32"/>
          <w:szCs w:val="32"/>
        </w:rPr>
        <w:t>.</w:t>
      </w:r>
      <w:r>
        <w:rPr>
          <w:rFonts w:ascii="仿宋" w:cs="微软雅黑" w:eastAsia="仿宋" w:hAnsi="仿宋" w:hint="eastAsia"/>
          <w:sz w:val="32"/>
          <w:szCs w:val="32"/>
        </w:rPr>
        <w:t>本项目不允许联合体参与。</w:t>
      </w:r>
    </w:p>
    <w:p w14:paraId="7613499C">
      <w:pPr>
        <w:pStyle w:val="style0"/>
        <w:spacing w:lineRule="exact" w:line="578"/>
        <w:rPr>
          <w:rFonts w:ascii="黑体" w:cs="微软雅黑" w:eastAsia="黑体" w:hAnsi="黑体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黑体" w:cs="微软雅黑" w:eastAsia="黑体" w:hAnsi="黑体" w:hint="eastAsia"/>
          <w:b/>
          <w:bCs/>
          <w:color w:val="000000"/>
          <w:kern w:val="0"/>
          <w:sz w:val="32"/>
          <w:szCs w:val="32"/>
          <w:shd w:val="clear" w:color="auto" w:fill="ffffff"/>
        </w:rPr>
        <w:t>三、报名资格审核材料及要求</w:t>
      </w:r>
    </w:p>
    <w:p w14:paraId="141B4878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 w:hint="eastAsia"/>
          <w:sz w:val="32"/>
          <w:szCs w:val="32"/>
        </w:rPr>
        <w:t>1.《遥感星座与GW星座激光建链外协项目供应商资质表》</w:t>
      </w:r>
    </w:p>
    <w:p w14:paraId="78CBFEC3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/>
          <w:sz w:val="32"/>
          <w:szCs w:val="32"/>
        </w:rPr>
        <w:t>2.</w:t>
      </w:r>
      <w:r>
        <w:rPr>
          <w:rFonts w:ascii="仿宋" w:cs="微软雅黑" w:eastAsia="仿宋" w:hAnsi="仿宋" w:hint="eastAsia"/>
          <w:sz w:val="32"/>
          <w:szCs w:val="32"/>
        </w:rPr>
        <w:t>供应商企业概况（500-1500字，包含是否与参与项目有关联关系说明）</w:t>
      </w:r>
    </w:p>
    <w:bookmarkStart w:id="3" w:name="OLE_LINK4"/>
    <w:p w14:paraId="44B3EFD1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/>
          <w:sz w:val="32"/>
          <w:szCs w:val="32"/>
        </w:rPr>
        <w:t>3.</w:t>
      </w:r>
      <w:r>
        <w:rPr>
          <w:rFonts w:ascii="仿宋" w:cs="微软雅黑" w:eastAsia="仿宋" w:hAnsi="仿宋" w:hint="eastAsia"/>
          <w:sz w:val="32"/>
          <w:szCs w:val="32"/>
        </w:rPr>
        <w:t>供应商资质证明材料复印件（包含但不限于如下文件且加盖公章）：营业执照副本（有最新的年审合格记录）、技术服务业绩，各类资格证书及获奖证书等</w:t>
      </w:r>
    </w:p>
    <w:p w14:paraId="4151C973">
      <w:pPr>
        <w:pStyle w:val="style179"/>
        <w:spacing w:lineRule="exact" w:line="578"/>
        <w:ind w:firstLine="64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/>
          <w:sz w:val="32"/>
          <w:szCs w:val="32"/>
        </w:rPr>
        <w:t>4.</w:t>
      </w:r>
      <w:r>
        <w:rPr>
          <w:rFonts w:ascii="仿宋" w:cs="微软雅黑" w:eastAsia="仿宋" w:hAnsi="仿宋" w:hint="eastAsia"/>
          <w:sz w:val="32"/>
          <w:szCs w:val="32"/>
        </w:rPr>
        <w:t>供应商知识产权</w:t>
      </w:r>
    </w:p>
    <w:p w14:paraId="2B3233D6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/>
          <w:sz w:val="32"/>
          <w:szCs w:val="32"/>
        </w:rPr>
        <w:t>5</w:t>
      </w:r>
      <w:r>
        <w:rPr>
          <w:rFonts w:ascii="仿宋" w:cs="微软雅黑" w:eastAsia="仿宋" w:hAnsi="仿宋" w:hint="eastAsia"/>
          <w:sz w:val="32"/>
          <w:szCs w:val="32"/>
        </w:rPr>
        <w:t>.供应商报价单原件（加盖公章）</w:t>
      </w:r>
    </w:p>
    <w:p w14:paraId="3D59714E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  <w:u w:val="none"/>
        </w:rPr>
      </w:pPr>
      <w:r>
        <w:rPr>
          <w:rFonts w:ascii="仿宋" w:cs="微软雅黑" w:eastAsia="仿宋" w:hAnsi="仿宋"/>
          <w:sz w:val="32"/>
          <w:szCs w:val="32"/>
          <w:u w:val="none"/>
        </w:rPr>
        <w:t>6.</w:t>
      </w:r>
      <w:r>
        <w:rPr>
          <w:rFonts w:ascii="仿宋" w:cs="微软雅黑" w:eastAsia="仿宋" w:hAnsi="仿宋" w:hint="eastAsia"/>
          <w:sz w:val="32"/>
          <w:szCs w:val="32"/>
          <w:u w:val="none"/>
        </w:rPr>
        <w:t>供应商技术规格方案</w:t>
      </w:r>
    </w:p>
    <w:p w14:paraId="43B0402D">
      <w:pPr>
        <w:pStyle w:val="style0"/>
        <w:spacing w:lineRule="exact" w:line="578"/>
        <w:rPr>
          <w:rFonts w:ascii="黑体" w:cs="微软雅黑" w:eastAsia="黑体" w:hAnsi="黑体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黑体" w:cs="微软雅黑" w:eastAsia="黑体" w:hAnsi="黑体" w:hint="eastAsia"/>
          <w:b/>
          <w:bCs/>
          <w:color w:val="000000"/>
          <w:kern w:val="0"/>
          <w:sz w:val="32"/>
          <w:szCs w:val="32"/>
          <w:shd w:val="clear" w:color="auto" w:fill="ffffff"/>
        </w:rPr>
        <w:t>四、</w:t>
      </w:r>
      <w:bookmarkEnd w:id="3"/>
      <w:r>
        <w:rPr>
          <w:rFonts w:ascii="黑体" w:cs="微软雅黑" w:eastAsia="黑体" w:hAnsi="黑体" w:hint="eastAsia"/>
          <w:b/>
          <w:bCs/>
          <w:color w:val="000000"/>
          <w:kern w:val="0"/>
          <w:sz w:val="32"/>
          <w:szCs w:val="32"/>
          <w:shd w:val="clear" w:color="auto" w:fill="ffffff"/>
        </w:rPr>
        <w:t>公告时间及报名方式</w:t>
      </w:r>
    </w:p>
    <w:p w14:paraId="0A0AC53C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 w:hint="eastAsia"/>
          <w:sz w:val="32"/>
          <w:szCs w:val="32"/>
        </w:rPr>
        <w:t>1.公告时间：自发</w:t>
      </w:r>
      <w:r>
        <w:rPr>
          <w:rFonts w:ascii="仿宋" w:cs="微软雅黑" w:eastAsia="仿宋" w:hAnsi="仿宋" w:hint="eastAsia"/>
          <w:sz w:val="32"/>
          <w:szCs w:val="32"/>
          <w:lang w:val="en-US" w:eastAsia="zh-CN"/>
        </w:rPr>
        <w:t>布</w:t>
      </w:r>
      <w:r>
        <w:rPr>
          <w:rFonts w:ascii="仿宋" w:cs="微软雅黑" w:eastAsia="仿宋" w:hAnsi="仿宋" w:hint="eastAsia"/>
          <w:sz w:val="32"/>
          <w:szCs w:val="32"/>
        </w:rPr>
        <w:t>日</w:t>
      </w:r>
      <w:r>
        <w:rPr>
          <w:rFonts w:ascii="仿宋" w:cs="微软雅黑" w:eastAsia="仿宋" w:hAnsi="仿宋" w:hint="eastAsia"/>
          <w:sz w:val="32"/>
          <w:szCs w:val="32"/>
          <w:lang w:val="en-US" w:eastAsia="zh-CN"/>
        </w:rPr>
        <w:t>起至2026年10月10日</w:t>
      </w:r>
      <w:bookmarkStart w:id="4" w:name="_GoBack"/>
      <w:bookmarkEnd w:id="4"/>
      <w:r>
        <w:rPr>
          <w:rFonts w:ascii="仿宋" w:cs="微软雅黑" w:eastAsia="仿宋" w:hAnsi="仿宋" w:hint="eastAsia"/>
          <w:sz w:val="32"/>
          <w:szCs w:val="32"/>
        </w:rPr>
        <w:t>。</w:t>
      </w:r>
    </w:p>
    <w:p w14:paraId="4BDD4016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 w:hint="eastAsia"/>
          <w:sz w:val="32"/>
          <w:szCs w:val="32"/>
        </w:rPr>
        <w:t>2.报名方式：请有意向参与的供应商于2026年</w:t>
      </w:r>
      <w:r>
        <w:rPr>
          <w:rFonts w:ascii="仿宋" w:cs="微软雅黑" w:eastAsia="仿宋" w:hAnsi="仿宋" w:hint="eastAsia"/>
          <w:sz w:val="32"/>
          <w:szCs w:val="32"/>
          <w:lang w:val="en-US" w:eastAsia="zh-CN"/>
        </w:rPr>
        <w:t>10</w:t>
      </w:r>
      <w:r>
        <w:rPr>
          <w:rFonts w:ascii="仿宋" w:cs="微软雅黑" w:eastAsia="仿宋" w:hAnsi="仿宋" w:hint="eastAsia"/>
          <w:sz w:val="32"/>
          <w:szCs w:val="32"/>
        </w:rPr>
        <w:t>月</w:t>
      </w:r>
      <w:r>
        <w:rPr>
          <w:rFonts w:ascii="仿宋" w:cs="微软雅黑" w:eastAsia="仿宋" w:hAnsi="仿宋" w:hint="eastAsia"/>
          <w:sz w:val="32"/>
          <w:szCs w:val="32"/>
          <w:lang w:val="en-US" w:eastAsia="zh-CN"/>
        </w:rPr>
        <w:t>10</w:t>
      </w:r>
      <w:r>
        <w:rPr>
          <w:rFonts w:ascii="仿宋" w:cs="微软雅黑" w:eastAsia="仿宋" w:hAnsi="仿宋" w:hint="eastAsia"/>
          <w:sz w:val="32"/>
          <w:szCs w:val="32"/>
        </w:rPr>
        <w:t>日17:00前与我校蒯老师联系确认报名，并提供报名资格审核材料，将扫描件</w:t>
      </w:r>
      <w:r>
        <w:rPr>
          <w:rFonts w:ascii="仿宋" w:cs="微软雅黑" w:eastAsia="仿宋" w:hAnsi="仿宋" w:hint="eastAsia"/>
          <w:sz w:val="32"/>
          <w:szCs w:val="32"/>
          <w:u w:val="none"/>
          <w:lang w:eastAsia="zh-CN"/>
        </w:rPr>
        <w:t>发送至</w:t>
      </w:r>
      <w:r>
        <w:rPr>
          <w:rFonts w:ascii="仿宋" w:cs="微软雅黑" w:eastAsia="仿宋" w:hAnsi="仿宋" w:hint="eastAsia"/>
          <w:sz w:val="32"/>
          <w:szCs w:val="32"/>
          <w:u w:val="none"/>
        </w:rPr>
        <w:t>jwkuai@nuaa.edu.cn和s</w:t>
      </w:r>
      <w:r>
        <w:rPr>
          <w:rFonts w:ascii="仿宋" w:cs="微软雅黑" w:eastAsia="仿宋" w:hAnsi="仿宋"/>
          <w:sz w:val="32"/>
          <w:szCs w:val="32"/>
          <w:u w:val="none"/>
        </w:rPr>
        <w:t>huchen945@nuaa.edu.cn</w:t>
      </w:r>
      <w:r>
        <w:rPr>
          <w:rFonts w:ascii="仿宋" w:cs="微软雅黑" w:eastAsia="仿宋" w:hAnsi="仿宋" w:hint="eastAsia"/>
          <w:sz w:val="32"/>
          <w:szCs w:val="32"/>
          <w:u w:val="none"/>
        </w:rPr>
        <w:t>。</w:t>
      </w:r>
      <w:r>
        <w:rPr>
          <w:rFonts w:ascii="仿宋" w:cs="微软雅黑" w:eastAsia="仿宋" w:hAnsi="仿宋" w:hint="eastAsia"/>
          <w:sz w:val="32"/>
          <w:szCs w:val="32"/>
        </w:rPr>
        <w:t>逾期不予受理。</w:t>
      </w:r>
    </w:p>
    <w:p w14:paraId="0497E572">
      <w:pPr>
        <w:pStyle w:val="style0"/>
        <w:spacing w:lineRule="exact" w:line="578"/>
        <w:rPr>
          <w:rFonts w:ascii="黑体" w:cs="微软雅黑" w:eastAsia="黑体" w:hAnsi="黑体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黑体" w:cs="微软雅黑" w:eastAsia="黑体" w:hAnsi="黑体" w:hint="eastAsia"/>
          <w:b/>
          <w:bCs/>
          <w:color w:val="000000"/>
          <w:kern w:val="0"/>
          <w:sz w:val="32"/>
          <w:szCs w:val="32"/>
          <w:shd w:val="clear" w:color="auto" w:fill="ffffff"/>
        </w:rPr>
        <w:t>五、评选方式</w:t>
      </w:r>
    </w:p>
    <w:p w14:paraId="35A402F1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 w:hint="eastAsia"/>
          <w:sz w:val="32"/>
          <w:szCs w:val="32"/>
        </w:rPr>
        <w:t>资料提交后由学校组织评审选出符合外协项目的最优供应商。</w:t>
      </w:r>
    </w:p>
    <w:p w14:paraId="1EA837F6">
      <w:pPr>
        <w:pStyle w:val="style0"/>
        <w:spacing w:lineRule="exact" w:line="578"/>
        <w:rPr>
          <w:rFonts w:ascii="黑体" w:cs="微软雅黑" w:eastAsia="黑体" w:hAnsi="黑体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黑体" w:cs="微软雅黑" w:eastAsia="黑体" w:hAnsi="黑体" w:hint="eastAsia"/>
          <w:b/>
          <w:bCs/>
          <w:color w:val="000000"/>
          <w:kern w:val="0"/>
          <w:sz w:val="32"/>
          <w:szCs w:val="32"/>
          <w:shd w:val="clear" w:color="auto" w:fill="ffffff"/>
        </w:rPr>
        <w:t xml:space="preserve">六、联系方式 </w:t>
      </w:r>
      <w:r>
        <w:rPr>
          <w:rFonts w:ascii="黑体" w:cs="微软雅黑" w:eastAsia="黑体" w:hAnsi="黑体"/>
          <w:b/>
          <w:bCs/>
          <w:color w:val="000000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ascii="黑体" w:cs="微软雅黑" w:eastAsia="黑体" w:hAnsi="黑体" w:hint="eastAsia"/>
          <w:b/>
          <w:bCs/>
          <w:color w:val="000000"/>
          <w:kern w:val="0"/>
          <w:sz w:val="32"/>
          <w:szCs w:val="32"/>
          <w:shd w:val="clear" w:color="auto" w:fill="ffffff"/>
        </w:rPr>
        <w:t>（</w:t>
      </w:r>
      <w:r>
        <w:rPr>
          <w:rFonts w:ascii="黑体" w:cs="微软雅黑" w:eastAsia="黑体" w:hAnsi="黑体" w:hint="eastAsia"/>
          <w:bCs/>
          <w:color w:val="000000"/>
          <w:kern w:val="0"/>
          <w:sz w:val="32"/>
          <w:szCs w:val="32"/>
          <w:shd w:val="clear" w:color="auto" w:fill="ffffff"/>
        </w:rPr>
        <w:t>课题组联系人</w:t>
      </w:r>
      <w:r>
        <w:rPr>
          <w:rFonts w:ascii="黑体" w:cs="微软雅黑" w:eastAsia="黑体" w:hAnsi="黑体" w:hint="eastAsia"/>
          <w:b/>
          <w:bCs/>
          <w:color w:val="000000"/>
          <w:kern w:val="0"/>
          <w:sz w:val="32"/>
          <w:szCs w:val="32"/>
          <w:shd w:val="clear" w:color="auto" w:fill="ffffff"/>
        </w:rPr>
        <w:t>）</w:t>
      </w:r>
    </w:p>
    <w:p w14:paraId="6FE93EAB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 w:hint="eastAsia"/>
          <w:sz w:val="32"/>
          <w:szCs w:val="32"/>
        </w:rPr>
        <w:t>联系人：蒯老师</w:t>
      </w:r>
    </w:p>
    <w:p w14:paraId="2AED6AE0">
      <w:pPr>
        <w:pStyle w:val="style0"/>
        <w:spacing w:lineRule="exact" w:line="578"/>
        <w:ind w:firstLine="640" w:firstLineChars="200"/>
        <w:rPr>
          <w:rFonts w:ascii="仿宋" w:cs="微软雅黑" w:eastAsia="仿宋" w:hAnsi="仿宋" w:hint="eastAsia"/>
          <w:sz w:val="32"/>
          <w:szCs w:val="32"/>
        </w:rPr>
      </w:pPr>
      <w:r>
        <w:rPr>
          <w:rFonts w:ascii="仿宋" w:cs="微软雅黑" w:eastAsia="仿宋" w:hAnsi="仿宋" w:hint="eastAsia"/>
          <w:sz w:val="32"/>
          <w:szCs w:val="32"/>
        </w:rPr>
        <w:t>电话：18511173126</w:t>
      </w:r>
    </w:p>
    <w:p w14:paraId="4ECFFD87">
      <w:pPr>
        <w:pStyle w:val="style0"/>
        <w:spacing w:lineRule="exact" w:line="578"/>
        <w:ind w:left="2230" w:leftChars="300" w:hanging="1600" w:hangingChars="500"/>
        <w:jc w:val="left"/>
        <w:rPr>
          <w:rFonts w:ascii="仿宋" w:cs="微软雅黑" w:eastAsia="仿宋" w:hAnsi="仿宋" w:hint="eastAsia"/>
          <w:color w:val="000000"/>
          <w:sz w:val="32"/>
          <w:szCs w:val="32"/>
        </w:rPr>
      </w:pPr>
      <w:r>
        <w:rPr>
          <w:rFonts w:ascii="仿宋" w:cs="微软雅黑" w:eastAsia="仿宋" w:hAnsi="仿宋" w:hint="eastAsia"/>
          <w:color w:val="000000"/>
          <w:kern w:val="0"/>
          <w:sz w:val="32"/>
          <w:szCs w:val="32"/>
          <w:shd w:val="clear" w:color="auto" w:fill="ffffff"/>
        </w:rPr>
        <w:t>电子邮件：jwkuai@nuaa.edu.cn和</w:t>
      </w:r>
      <w:r>
        <w:rPr>
          <w:rFonts w:ascii="仿宋" w:cs="微软雅黑" w:eastAsia="仿宋" w:hAnsi="仿宋"/>
          <w:color w:val="000000"/>
          <w:kern w:val="0"/>
          <w:sz w:val="32"/>
          <w:szCs w:val="32"/>
          <w:shd w:val="clear" w:color="auto" w:fill="ffffff"/>
        </w:rPr>
        <w:t>shuchen945@nuaa.edu.cn</w:t>
      </w:r>
    </w:p>
    <w:p w14:paraId="7E7BF6D6">
      <w:pPr>
        <w:pStyle w:val="style0"/>
        <w:wordWrap w:val="false"/>
        <w:spacing w:lineRule="exact" w:line="420"/>
        <w:ind w:right="840" w:firstLine="640" w:firstLineChars="200"/>
        <w:jc w:val="right"/>
        <w:rPr>
          <w:rFonts w:ascii="仿宋" w:cs="微软雅黑" w:eastAsia="仿宋" w:hAnsi="仿宋" w:hint="eastAsia"/>
          <w:bCs/>
          <w:sz w:val="32"/>
          <w:szCs w:val="32"/>
        </w:rPr>
      </w:pPr>
    </w:p>
    <w:p w14:paraId="1B482130">
      <w:pPr>
        <w:pStyle w:val="style0"/>
        <w:spacing w:lineRule="exact" w:line="420"/>
        <w:ind w:right="520" w:firstLine="640" w:firstLineChars="200"/>
        <w:jc w:val="right"/>
        <w:rPr>
          <w:rFonts w:ascii="仿宋" w:cs="微软雅黑" w:eastAsia="仿宋" w:hAnsi="仿宋" w:hint="eastAsia"/>
          <w:bCs/>
          <w:sz w:val="32"/>
          <w:szCs w:val="32"/>
          <w:lang w:eastAsia="zh-CN"/>
        </w:rPr>
      </w:pPr>
      <w:r>
        <w:rPr>
          <w:rFonts w:ascii="仿宋" w:cs="微软雅黑" w:eastAsia="仿宋" w:hAnsi="仿宋" w:hint="eastAsia"/>
          <w:bCs/>
          <w:sz w:val="32"/>
          <w:szCs w:val="32"/>
        </w:rPr>
        <w:t>南京航空航天大学</w:t>
      </w:r>
      <w:r>
        <w:rPr>
          <w:rFonts w:ascii="仿宋" w:cs="微软雅黑" w:eastAsia="仿宋" w:hAnsi="仿宋" w:hint="eastAsia"/>
          <w:bCs/>
          <w:sz w:val="32"/>
          <w:szCs w:val="32"/>
          <w:lang w:eastAsia="zh-CN"/>
        </w:rPr>
        <w:t>科研院</w:t>
      </w:r>
    </w:p>
    <w:p w14:paraId="6954D6AE">
      <w:pPr>
        <w:pStyle w:val="style0"/>
        <w:ind w:right="950"/>
        <w:jc w:val="right"/>
        <w:rPr>
          <w:rFonts w:ascii="仿宋" w:eastAsia="仿宋" w:hAnsi="仿宋" w:hint="eastAsia"/>
          <w:sz w:val="32"/>
          <w:szCs w:val="32"/>
        </w:rPr>
      </w:pPr>
      <w:r>
        <w:rPr>
          <w:rFonts w:ascii="仿宋" w:cs="微软雅黑" w:eastAsia="仿宋" w:hAnsi="仿宋" w:hint="eastAsia"/>
          <w:bCs/>
          <w:sz w:val="32"/>
          <w:szCs w:val="32"/>
        </w:rPr>
        <w:t>2026年09月2</w:t>
      </w:r>
      <w:r>
        <w:rPr>
          <w:rFonts w:ascii="仿宋" w:cs="微软雅黑" w:eastAsia="仿宋" w:hAnsi="仿宋" w:hint="eastAsia"/>
          <w:bCs/>
          <w:sz w:val="32"/>
          <w:szCs w:val="32"/>
          <w:lang w:val="en-US" w:eastAsia="zh-CN"/>
        </w:rPr>
        <w:t>4</w:t>
      </w:r>
      <w:r>
        <w:rPr>
          <w:rFonts w:ascii="仿宋" w:cs="微软雅黑" w:eastAsia="仿宋" w:hAnsi="仿宋" w:hint="eastAsia"/>
          <w:bCs/>
          <w:sz w:val="32"/>
          <w:szCs w:val="32"/>
        </w:rPr>
        <w:t>日</w:t>
      </w:r>
    </w:p>
    <w:p w14:paraId="3FF6A226">
      <w:pPr>
        <w:pStyle w:val="style0"/>
        <w:rPr/>
      </w:pPr>
    </w:p>
    <w:p w14:paraId="47534218">
      <w:pPr>
        <w:pStyle w:val="style179"/>
        <w:rPr/>
      </w:pPr>
    </w:p>
    <w:p w14:paraId="6620D773">
      <w:pPr>
        <w:pStyle w:val="style179"/>
        <w:rPr/>
      </w:pPr>
    </w:p>
    <w:p w14:paraId="5308E14E">
      <w:pPr>
        <w:pStyle w:val="style179"/>
        <w:rPr/>
      </w:pPr>
    </w:p>
    <w:p w14:paraId="34745BB7">
      <w:pPr>
        <w:pStyle w:val="style179"/>
        <w:rPr/>
      </w:pPr>
    </w:p>
    <w:p w14:paraId="12F0C792">
      <w:pPr>
        <w:pStyle w:val="style179"/>
        <w:rPr/>
      </w:pPr>
    </w:p>
    <w:p w14:paraId="03009250">
      <w:pPr>
        <w:pStyle w:val="style179"/>
        <w:rPr/>
      </w:pPr>
    </w:p>
    <w:p w14:paraId="21B80F97">
      <w:pPr>
        <w:pStyle w:val="style179"/>
        <w:rPr/>
      </w:pPr>
    </w:p>
    <w:p w14:paraId="2DF2D0AC">
      <w:pPr>
        <w:pStyle w:val="style179"/>
        <w:rPr/>
      </w:pPr>
    </w:p>
    <w:p w14:paraId="2313C95A">
      <w:pPr>
        <w:pStyle w:val="style179"/>
        <w:ind w:left="0" w:leftChars="0" w:firstLine="0" w:firstLineChars="0"/>
        <w:rPr/>
      </w:pPr>
    </w:p>
    <w:p w14:paraId="4DECF1FE">
      <w:pPr>
        <w:pStyle w:val="style179"/>
        <w:rPr/>
      </w:pPr>
    </w:p>
    <w:p w14:paraId="4A55686C">
      <w:pPr>
        <w:pStyle w:val="style179"/>
        <w:rPr/>
      </w:pPr>
    </w:p>
    <w:p w14:paraId="6027BB92">
      <w:pPr>
        <w:pStyle w:val="style179"/>
        <w:rPr/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等线"/>
    <w:panose1 w:val="02010600030001010101"/>
    <w:charset w:val="86"/>
    <w:family w:val="auto"/>
    <w:pitch w:val="default"/>
    <w:sig w:usb0="A00002BF" w:usb1="38CF7CFA" w:usb2="00000016" w:usb3="00000000" w:csb0="0004000F" w:csb1="00000000"/>
  </w:font>
  <w:font w:name="微软雅黑">
    <w:altName w:val="微软雅黑"/>
    <w:panose1 w:val="020b0503020002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小标宋简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_GB2312"/>
    <w:panose1 w:val="020106090300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TrueTypeFonts/>
  <w:saveSubset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Times New Roman" w:cs="Times New Roman" w:eastAsia="微软雅黑" w:hAnsi="Times New Roman"/>
      <w:kern w:val="2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66">
    <w:name w:val="Body Text"/>
    <w:next w:val="style66"/>
    <w:qFormat/>
    <w:uiPriority w:val="0"/>
    <w:pPr>
      <w:widowControl w:val="false"/>
      <w:adjustRightInd w:val="false"/>
      <w:spacing w:before="100" w:after="100" w:lineRule="auto" w:line="300"/>
      <w:ind w:firstLine="1044" w:firstLineChars="200"/>
      <w:jc w:val="both"/>
    </w:pPr>
    <w:rPr>
      <w:rFonts w:ascii="Times New Roman" w:cs="Times New Roman" w:eastAsia="宋体" w:hAnsi="Times New Roman"/>
      <w:kern w:val="2"/>
      <w:sz w:val="24"/>
      <w:szCs w:val="24"/>
      <w:lang w:val="en-US" w:bidi="ar-SA" w:eastAsia="zh-CN"/>
    </w:rPr>
  </w:style>
  <w:style w:type="paragraph" w:styleId="style153">
    <w:name w:val="Balloon Text"/>
    <w:basedOn w:val="style0"/>
    <w:next w:val="style153"/>
    <w:link w:val="style4097"/>
    <w:qFormat/>
    <w:uiPriority w:val="99"/>
    <w:pPr/>
    <w:rPr>
      <w:sz w:val="18"/>
      <w:szCs w:val="18"/>
    </w:rPr>
  </w:style>
  <w:style w:type="paragraph" w:styleId="style32">
    <w:name w:val="footer"/>
    <w:basedOn w:val="style0"/>
    <w:next w:val="style32"/>
    <w:link w:val="style4098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rFonts w:ascii="等线" w:cs="宋体" w:eastAsia="等线" w:hAnsi="等线"/>
      <w:sz w:val="18"/>
      <w:szCs w:val="18"/>
    </w:rPr>
  </w:style>
  <w:style w:type="paragraph" w:styleId="style31">
    <w:name w:val="header"/>
    <w:basedOn w:val="style0"/>
    <w:next w:val="style31"/>
    <w:link w:val="style4099"/>
    <w:qFormat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rFonts w:ascii="等线" w:cs="宋体" w:eastAsia="等线" w:hAnsi="等线"/>
      <w:sz w:val="18"/>
      <w:szCs w:val="18"/>
    </w:rPr>
  </w:style>
  <w:style w:type="character" w:styleId="style85">
    <w:name w:val="Hyperlink"/>
    <w:basedOn w:val="style65"/>
    <w:next w:val="style85"/>
    <w:qFormat/>
    <w:uiPriority w:val="99"/>
    <w:rPr>
      <w:color w:val="0563c1"/>
      <w:u w:val="single"/>
    </w:rPr>
  </w:style>
  <w:style w:type="character" w:customStyle="1" w:styleId="style4097">
    <w:name w:val="批注框文本 字符"/>
    <w:basedOn w:val="style65"/>
    <w:next w:val="style4097"/>
    <w:link w:val="style153"/>
    <w:qFormat/>
    <w:uiPriority w:val="99"/>
    <w:rPr>
      <w:rFonts w:ascii="Times New Roman" w:cs="Times New Roman" w:eastAsia="微软雅黑" w:hAnsi="Times New Roman"/>
      <w:sz w:val="18"/>
      <w:szCs w:val="18"/>
    </w:rPr>
  </w:style>
  <w:style w:type="character" w:customStyle="1" w:styleId="style4098">
    <w:name w:val="页脚 字符"/>
    <w:basedOn w:val="style65"/>
    <w:next w:val="style4098"/>
    <w:link w:val="style32"/>
    <w:qFormat/>
    <w:uiPriority w:val="99"/>
    <w:rPr>
      <w:sz w:val="18"/>
      <w:szCs w:val="18"/>
    </w:rPr>
  </w:style>
  <w:style w:type="character" w:customStyle="1" w:styleId="style4099">
    <w:name w:val="页眉 字符"/>
    <w:basedOn w:val="style65"/>
    <w:next w:val="style4099"/>
    <w:link w:val="style31"/>
    <w:qFormat/>
    <w:uiPriority w:val="99"/>
    <w:rPr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firstLine="420" w:firstLineChars="20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29</TotalTime>
  <Words>1852</Words>
  <Pages>5</Pages>
  <Characters>2035</Characters>
  <Application>WPS Office</Application>
  <Paragraphs>69</Paragraphs>
  <ScaleCrop>false</ScaleCrop>
  <LinksUpToDate>false</LinksUpToDate>
  <CharactersWithSpaces>2038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2026-09-22T19:44:00Z</dcterms:created>
  <dc:creator>files</dc:creator>
  <lastModifiedBy>PKH120</lastModifiedBy>
  <dcterms:modified xsi:type="dcterms:W3CDTF">2026-09-24T06:55:19Z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23c06b8924ee4a2c8cfde5b014b514b9_23</vt:lpwstr>
  </property>
  <property fmtid="{D5CDD505-2E9C-101B-9397-08002B2CF9AE}" pid="4" name="KSOTemplateDocerSaveRecord">
    <vt:lpwstr>eyJoZGlkIjoiMjJkYzc3NTI0NDU3MGFiMmU0ZmMwMDZkYmMzOTg5NWQiLCJ1c2VySWQiOiIzNDg5OTY5NDYifQ==</vt:lpwstr>
  </property>
</Properties>
</file>