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D4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lang w:val="en-US" w:eastAsia="zh-CN"/>
        </w:rPr>
      </w:pPr>
      <w:bookmarkStart w:id="0" w:name="_Toc530473016"/>
      <w:r>
        <w:rPr>
          <w:rFonts w:hint="eastAsia" w:ascii="黑体" w:hAnsi="黑体" w:eastAsia="黑体" w:cs="黑体"/>
          <w:color w:val="000000"/>
          <w:sz w:val="32"/>
          <w:szCs w:val="32"/>
          <w:lang w:val="en-US" w:eastAsia="zh-CN"/>
        </w:rPr>
        <w:t>附件：</w:t>
      </w:r>
    </w:p>
    <w:bookmarkEnd w:id="0"/>
    <w:p w14:paraId="30311FAC">
      <w:pPr>
        <w:spacing w:line="740" w:lineRule="exact"/>
        <w:jc w:val="center"/>
        <w:outlineLvl w:val="2"/>
        <w:rPr>
          <w:rFonts w:eastAsia="黑体"/>
          <w:color w:val="000000"/>
          <w:sz w:val="32"/>
          <w:szCs w:val="32"/>
        </w:rPr>
      </w:pPr>
      <w:bookmarkStart w:id="1" w:name="_Toc2131911538"/>
      <w:bookmarkStart w:id="2" w:name="_Toc175603519"/>
      <w:bookmarkStart w:id="3" w:name="_Toc1423068732"/>
      <w:bookmarkStart w:id="4" w:name="_Toc1550903188"/>
      <w:bookmarkStart w:id="5" w:name="_Toc1099067205"/>
      <w:bookmarkStart w:id="6" w:name="_Toc2124023149"/>
      <w:bookmarkStart w:id="7" w:name="_Toc1827832502"/>
      <w:bookmarkStart w:id="8" w:name="_Toc357348418"/>
      <w:r>
        <w:rPr>
          <w:rFonts w:hint="eastAsia" w:eastAsia="黑体"/>
          <w:color w:val="000000"/>
          <w:sz w:val="32"/>
          <w:szCs w:val="32"/>
        </w:rPr>
        <w:t>2025年度</w:t>
      </w:r>
      <w:r>
        <w:rPr>
          <w:rFonts w:eastAsia="黑体"/>
          <w:color w:val="000000"/>
          <w:sz w:val="32"/>
          <w:szCs w:val="32"/>
        </w:rPr>
        <w:t>海南省科学技术奖提名公示内容</w:t>
      </w:r>
      <w:bookmarkEnd w:id="1"/>
      <w:bookmarkEnd w:id="2"/>
      <w:bookmarkEnd w:id="3"/>
      <w:bookmarkEnd w:id="4"/>
      <w:bookmarkEnd w:id="5"/>
      <w:bookmarkEnd w:id="6"/>
      <w:bookmarkEnd w:id="7"/>
      <w:bookmarkEnd w:id="8"/>
    </w:p>
    <w:p w14:paraId="6798D216">
      <w:pPr>
        <w:spacing w:line="100" w:lineRule="exact"/>
        <w:jc w:val="center"/>
        <w:rPr>
          <w:rFonts w:eastAsia="仿宋_GB2312"/>
          <w:color w:val="000000"/>
          <w:sz w:val="32"/>
          <w:szCs w:val="32"/>
        </w:rPr>
      </w:pPr>
    </w:p>
    <w:p w14:paraId="6CC09691">
      <w:pPr>
        <w:spacing w:line="440" w:lineRule="exact"/>
        <w:jc w:val="center"/>
        <w:rPr>
          <w:rFonts w:ascii="宋体" w:hAnsi="宋体" w:cs="宋体"/>
          <w:szCs w:val="24"/>
        </w:rPr>
      </w:pPr>
      <w:r>
        <w:rPr>
          <w:rFonts w:hint="eastAsia" w:ascii="宋体" w:hAnsi="宋体" w:cs="宋体"/>
          <w:szCs w:val="24"/>
        </w:rPr>
        <w:t>（适用于项目主要完成单位、主要完成人所在单位）</w:t>
      </w:r>
    </w:p>
    <w:p w14:paraId="335D2D31">
      <w:pPr>
        <w:spacing w:line="440" w:lineRule="exact"/>
        <w:rPr>
          <w:rFonts w:ascii="宋体" w:hAnsi="宋体" w:cs="宋体"/>
          <w:szCs w:val="24"/>
        </w:rPr>
      </w:pPr>
    </w:p>
    <w:p w14:paraId="189B75AA">
      <w:pPr>
        <w:spacing w:line="440" w:lineRule="exact"/>
        <w:jc w:val="center"/>
        <w:rPr>
          <w:szCs w:val="24"/>
        </w:rPr>
      </w:pPr>
      <w:r>
        <w:rPr>
          <w:szCs w:val="24"/>
        </w:rPr>
        <w:t>公示单位：</w:t>
      </w:r>
      <w:r>
        <w:rPr>
          <w:rFonts w:hint="eastAsia"/>
          <w:szCs w:val="24"/>
          <w:lang w:val="en-US" w:eastAsia="zh-CN"/>
        </w:rPr>
        <w:t>南京航空航天大学</w:t>
      </w:r>
      <w:r>
        <w:rPr>
          <w:szCs w:val="24"/>
        </w:rPr>
        <w:t xml:space="preserve">      </w:t>
      </w:r>
      <w:bookmarkStart w:id="16" w:name="_GoBack"/>
      <w:bookmarkEnd w:id="16"/>
      <w:r>
        <w:rPr>
          <w:szCs w:val="24"/>
        </w:rPr>
        <w:t xml:space="preserve">填表日期： </w:t>
      </w:r>
      <w:r>
        <w:rPr>
          <w:rFonts w:hint="eastAsia"/>
          <w:szCs w:val="24"/>
        </w:rPr>
        <w:t>2026</w:t>
      </w:r>
      <w:r>
        <w:rPr>
          <w:szCs w:val="24"/>
        </w:rPr>
        <w:t>年</w:t>
      </w:r>
      <w:r>
        <w:rPr>
          <w:rFonts w:hint="eastAsia"/>
          <w:szCs w:val="24"/>
        </w:rPr>
        <w:t>01</w:t>
      </w:r>
      <w:r>
        <w:rPr>
          <w:szCs w:val="24"/>
        </w:rPr>
        <w:t>月</w:t>
      </w:r>
      <w:r>
        <w:rPr>
          <w:rFonts w:hint="eastAsia"/>
          <w:szCs w:val="24"/>
        </w:rPr>
        <w:t>25</w:t>
      </w:r>
      <w:r>
        <w:rPr>
          <w:szCs w:val="24"/>
        </w:rPr>
        <w:t>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2F3B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14:paraId="1EFDAB77">
            <w:pPr>
              <w:jc w:val="center"/>
              <w:rPr>
                <w:rStyle w:val="8"/>
                <w:color w:val="auto"/>
              </w:rPr>
            </w:pPr>
            <w:r>
              <w:rPr>
                <w:rStyle w:val="8"/>
                <w:color w:val="auto"/>
              </w:rPr>
              <w:t>项目名称</w:t>
            </w:r>
          </w:p>
        </w:tc>
        <w:tc>
          <w:tcPr>
            <w:tcW w:w="7051" w:type="dxa"/>
            <w:vAlign w:val="center"/>
          </w:tcPr>
          <w:p w14:paraId="04A7AA42">
            <w:pPr>
              <w:jc w:val="center"/>
              <w:rPr>
                <w:rStyle w:val="8"/>
                <w:b w:val="0"/>
                <w:color w:val="auto"/>
              </w:rPr>
            </w:pPr>
            <w:r>
              <w:rPr>
                <w:rStyle w:val="8"/>
                <w:rFonts w:hint="eastAsia"/>
                <w:b w:val="0"/>
                <w:color w:val="auto"/>
              </w:rPr>
              <w:t>面向海洋可再生电能存储的钠离子电池关键材料设计及其储钠机制研究</w:t>
            </w:r>
          </w:p>
        </w:tc>
      </w:tr>
      <w:tr w14:paraId="0C2AA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vAlign w:val="center"/>
          </w:tcPr>
          <w:p w14:paraId="12ACEB46">
            <w:pPr>
              <w:jc w:val="center"/>
              <w:rPr>
                <w:rStyle w:val="8"/>
                <w:color w:val="auto"/>
              </w:rPr>
            </w:pPr>
            <w:r>
              <w:rPr>
                <w:rStyle w:val="8"/>
                <w:color w:val="auto"/>
              </w:rPr>
              <w:t>提名奖项及等级</w:t>
            </w:r>
          </w:p>
        </w:tc>
        <w:tc>
          <w:tcPr>
            <w:tcW w:w="7051" w:type="dxa"/>
            <w:vAlign w:val="center"/>
          </w:tcPr>
          <w:p w14:paraId="0ECA9108">
            <w:pPr>
              <w:jc w:val="center"/>
              <w:rPr>
                <w:rStyle w:val="8"/>
                <w:b w:val="0"/>
                <w:color w:val="auto"/>
              </w:rPr>
            </w:pPr>
            <w:r>
              <w:rPr>
                <w:rStyle w:val="8"/>
                <w:rFonts w:hint="eastAsia"/>
                <w:b w:val="0"/>
                <w:color w:val="auto"/>
              </w:rPr>
              <w:t>海南省自然科学奖二等奖</w:t>
            </w:r>
          </w:p>
        </w:tc>
      </w:tr>
      <w:tr w14:paraId="4806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2269" w:type="dxa"/>
            <w:vAlign w:val="center"/>
          </w:tcPr>
          <w:p w14:paraId="5B560664">
            <w:pPr>
              <w:jc w:val="center"/>
              <w:rPr>
                <w:b/>
                <w:bCs/>
                <w:sz w:val="24"/>
                <w:szCs w:val="24"/>
                <w:lang w:val="en"/>
              </w:rPr>
            </w:pPr>
            <w:r>
              <w:rPr>
                <w:rStyle w:val="8"/>
                <w:color w:val="auto"/>
              </w:rPr>
              <w:t>提名者</w:t>
            </w:r>
          </w:p>
        </w:tc>
        <w:tc>
          <w:tcPr>
            <w:tcW w:w="7051" w:type="dxa"/>
            <w:vAlign w:val="center"/>
          </w:tcPr>
          <w:p w14:paraId="0E3FFE2D">
            <w:pPr>
              <w:contextualSpacing/>
              <w:jc w:val="center"/>
              <w:rPr>
                <w:bCs/>
                <w:sz w:val="24"/>
                <w:szCs w:val="24"/>
              </w:rPr>
            </w:pPr>
            <w:r>
              <w:rPr>
                <w:rFonts w:hint="eastAsia"/>
                <w:sz w:val="24"/>
                <w:szCs w:val="24"/>
              </w:rPr>
              <w:t>海南大学</w:t>
            </w:r>
          </w:p>
        </w:tc>
      </w:tr>
      <w:tr w14:paraId="14E1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vAlign w:val="center"/>
          </w:tcPr>
          <w:p w14:paraId="463F7A62">
            <w:pPr>
              <w:spacing w:line="440" w:lineRule="exact"/>
              <w:jc w:val="center"/>
              <w:rPr>
                <w:b/>
                <w:bCs/>
                <w:sz w:val="24"/>
                <w:szCs w:val="24"/>
              </w:rPr>
            </w:pPr>
            <w:bookmarkStart w:id="9" w:name="_Hlk220242187"/>
            <w:r>
              <w:rPr>
                <w:b/>
                <w:bCs/>
                <w:sz w:val="24"/>
                <w:szCs w:val="24"/>
              </w:rPr>
              <w:t>项目简介（1200字以内）</w:t>
            </w:r>
          </w:p>
        </w:tc>
        <w:tc>
          <w:tcPr>
            <w:tcW w:w="7051" w:type="dxa"/>
            <w:tcBorders>
              <w:left w:val="single" w:color="auto" w:sz="4" w:space="0"/>
            </w:tcBorders>
            <w:vAlign w:val="center"/>
          </w:tcPr>
          <w:p w14:paraId="1B58760A">
            <w:pPr>
              <w:spacing w:line="440" w:lineRule="exact"/>
              <w:ind w:firstLine="480" w:firstLineChars="200"/>
              <w:rPr>
                <w:bCs/>
                <w:sz w:val="24"/>
                <w:szCs w:val="24"/>
              </w:rPr>
            </w:pPr>
            <w:r>
              <w:rPr>
                <w:bCs/>
                <w:sz w:val="24"/>
                <w:szCs w:val="24"/>
              </w:rPr>
              <w:t>海南地处热带，四面环海，</w:t>
            </w:r>
            <w:r>
              <w:rPr>
                <w:rFonts w:hint="eastAsia"/>
                <w:bCs/>
                <w:sz w:val="24"/>
                <w:szCs w:val="24"/>
              </w:rPr>
              <w:t>蕴藏着</w:t>
            </w:r>
            <w:r>
              <w:rPr>
                <w:bCs/>
                <w:sz w:val="24"/>
                <w:szCs w:val="24"/>
              </w:rPr>
              <w:t>丰富的太阳能和风</w:t>
            </w:r>
            <w:r>
              <w:rPr>
                <w:rFonts w:hint="eastAsia"/>
                <w:bCs/>
                <w:sz w:val="24"/>
                <w:szCs w:val="24"/>
              </w:rPr>
              <w:t>能</w:t>
            </w:r>
            <w:r>
              <w:rPr>
                <w:bCs/>
                <w:sz w:val="24"/>
                <w:szCs w:val="24"/>
              </w:rPr>
              <w:t>资源。然而，太阳能</w:t>
            </w:r>
            <w:r>
              <w:rPr>
                <w:rFonts w:hint="eastAsia"/>
                <w:bCs/>
                <w:sz w:val="24"/>
                <w:szCs w:val="24"/>
              </w:rPr>
              <w:t>和风能发电</w:t>
            </w:r>
            <w:r>
              <w:rPr>
                <w:bCs/>
                <w:sz w:val="24"/>
                <w:szCs w:val="24"/>
              </w:rPr>
              <w:t>均存在随机性、间歇性和波动性，</w:t>
            </w:r>
            <w:r>
              <w:rPr>
                <w:rFonts w:hint="eastAsia"/>
                <w:bCs/>
                <w:sz w:val="24"/>
                <w:szCs w:val="24"/>
              </w:rPr>
              <w:t>而</w:t>
            </w:r>
            <w:r>
              <w:rPr>
                <w:bCs/>
                <w:sz w:val="24"/>
                <w:szCs w:val="24"/>
              </w:rPr>
              <w:t>将</w:t>
            </w:r>
            <w:r>
              <w:rPr>
                <w:rFonts w:hint="eastAsia"/>
                <w:bCs/>
                <w:sz w:val="24"/>
                <w:szCs w:val="24"/>
              </w:rPr>
              <w:t>其</w:t>
            </w:r>
            <w:r>
              <w:rPr>
                <w:bCs/>
                <w:sz w:val="24"/>
                <w:szCs w:val="24"/>
              </w:rPr>
              <w:t>与储能电池</w:t>
            </w:r>
            <w:r>
              <w:rPr>
                <w:rFonts w:hint="eastAsia"/>
                <w:bCs/>
                <w:sz w:val="24"/>
                <w:szCs w:val="24"/>
              </w:rPr>
              <w:t>器件</w:t>
            </w:r>
            <w:r>
              <w:rPr>
                <w:bCs/>
                <w:sz w:val="24"/>
                <w:szCs w:val="24"/>
              </w:rPr>
              <w:t>结合，</w:t>
            </w:r>
            <w:r>
              <w:rPr>
                <w:rFonts w:hint="eastAsia"/>
                <w:bCs/>
                <w:sz w:val="24"/>
                <w:szCs w:val="24"/>
              </w:rPr>
              <w:t>即可</w:t>
            </w:r>
            <w:r>
              <w:rPr>
                <w:bCs/>
                <w:sz w:val="24"/>
                <w:szCs w:val="24"/>
              </w:rPr>
              <w:t>实现</w:t>
            </w:r>
            <w:r>
              <w:rPr>
                <w:rFonts w:hint="eastAsia"/>
                <w:bCs/>
                <w:sz w:val="24"/>
                <w:szCs w:val="24"/>
              </w:rPr>
              <w:t>绿色</w:t>
            </w:r>
            <w:r>
              <w:rPr>
                <w:bCs/>
                <w:sz w:val="24"/>
                <w:szCs w:val="24"/>
              </w:rPr>
              <w:t>可再生电能的高效可控储释。当前，稀缺的锂矿资源、高昂的制造成本和偶发性的爆燃安全事故严重制约了锂离子电池在电化学储能领域的规模化应用。2022年6月，国家发改委、能源局等九部委联合发布《</w:t>
            </w:r>
            <w:bookmarkStart w:id="10" w:name="OLE_LINK32"/>
            <w:r>
              <w:rPr>
                <w:rFonts w:ascii="宋体" w:hAnsi="宋体"/>
                <w:bCs/>
                <w:sz w:val="24"/>
                <w:szCs w:val="24"/>
              </w:rPr>
              <w:t>“十四五”</w:t>
            </w:r>
            <w:r>
              <w:rPr>
                <w:bCs/>
                <w:sz w:val="24"/>
                <w:szCs w:val="24"/>
              </w:rPr>
              <w:t>可再生能源发展规划</w:t>
            </w:r>
            <w:bookmarkEnd w:id="10"/>
            <w:r>
              <w:rPr>
                <w:bCs/>
                <w:sz w:val="24"/>
                <w:szCs w:val="24"/>
              </w:rPr>
              <w:t>》，重点指出研发储备钠离子电池等高能量密度储能技术。钠离子电池与锂离子电池工作原理相似，具有资源丰富、低成本、高安全性和高倍率性能等优势，已成为国家重点支持发展的电化学储能技术。</w:t>
            </w:r>
          </w:p>
          <w:p w14:paraId="2BB52B09">
            <w:pPr>
              <w:spacing w:line="440" w:lineRule="exact"/>
              <w:ind w:firstLine="480" w:firstLineChars="200"/>
              <w:rPr>
                <w:bCs/>
                <w:sz w:val="24"/>
                <w:szCs w:val="24"/>
              </w:rPr>
            </w:pPr>
            <w:r>
              <w:rPr>
                <w:bCs/>
                <w:sz w:val="24"/>
                <w:szCs w:val="24"/>
              </w:rPr>
              <w:t>钠离子电池由正极材料、电解液和负极材料组成，其中兼具高离子电导率</w:t>
            </w:r>
            <w:r>
              <w:rPr>
                <w:rFonts w:hint="eastAsia"/>
                <w:bCs/>
                <w:sz w:val="24"/>
                <w:szCs w:val="24"/>
              </w:rPr>
              <w:t>和</w:t>
            </w:r>
            <w:r>
              <w:rPr>
                <w:bCs/>
                <w:sz w:val="24"/>
                <w:szCs w:val="24"/>
              </w:rPr>
              <w:t>高安全性的电解液体系已</w:t>
            </w:r>
            <w:r>
              <w:rPr>
                <w:rFonts w:hint="eastAsia"/>
                <w:bCs/>
                <w:sz w:val="24"/>
                <w:szCs w:val="24"/>
              </w:rPr>
              <w:t>达到</w:t>
            </w:r>
            <w:r>
              <w:rPr>
                <w:bCs/>
                <w:sz w:val="24"/>
                <w:szCs w:val="24"/>
              </w:rPr>
              <w:t>产业化应用条件</w:t>
            </w:r>
            <w:r>
              <w:rPr>
                <w:rFonts w:hint="eastAsia"/>
                <w:bCs/>
                <w:sz w:val="24"/>
                <w:szCs w:val="24"/>
              </w:rPr>
              <w:t>，当务之急是研发关键电极材料</w:t>
            </w:r>
            <w:r>
              <w:rPr>
                <w:bCs/>
                <w:sz w:val="24"/>
                <w:szCs w:val="24"/>
              </w:rPr>
              <w:t>。</w:t>
            </w:r>
            <w:bookmarkStart w:id="11" w:name="OLE_LINK34"/>
            <w:r>
              <w:rPr>
                <w:bCs/>
                <w:sz w:val="24"/>
                <w:szCs w:val="24"/>
              </w:rPr>
              <w:t>钠离子超导体（NASICON）型</w:t>
            </w:r>
            <w:bookmarkStart w:id="12" w:name="OLE_LINK33"/>
            <w:r>
              <w:rPr>
                <w:bCs/>
                <w:sz w:val="24"/>
                <w:szCs w:val="24"/>
              </w:rPr>
              <w:t>聚阴离子正极材料</w:t>
            </w:r>
            <w:bookmarkEnd w:id="12"/>
            <w:r>
              <w:rPr>
                <w:bCs/>
                <w:sz w:val="24"/>
                <w:szCs w:val="24"/>
              </w:rPr>
              <w:t>和硬碳负极材料</w:t>
            </w:r>
            <w:bookmarkEnd w:id="11"/>
            <w:r>
              <w:rPr>
                <w:bCs/>
                <w:sz w:val="24"/>
                <w:szCs w:val="24"/>
              </w:rPr>
              <w:t>具有结构灵活</w:t>
            </w:r>
            <w:r>
              <w:rPr>
                <w:rFonts w:hint="eastAsia"/>
                <w:bCs/>
                <w:sz w:val="24"/>
                <w:szCs w:val="24"/>
              </w:rPr>
              <w:t>稳定</w:t>
            </w:r>
            <w:r>
              <w:rPr>
                <w:bCs/>
                <w:sz w:val="24"/>
                <w:szCs w:val="24"/>
              </w:rPr>
              <w:t>、</w:t>
            </w:r>
            <w:r>
              <w:rPr>
                <w:rFonts w:hint="eastAsia"/>
                <w:bCs/>
                <w:sz w:val="24"/>
                <w:szCs w:val="24"/>
              </w:rPr>
              <w:t>低成本、高理论</w:t>
            </w:r>
            <w:r>
              <w:rPr>
                <w:bCs/>
                <w:sz w:val="24"/>
                <w:szCs w:val="24"/>
              </w:rPr>
              <w:t>比容量</w:t>
            </w:r>
            <w:r>
              <w:rPr>
                <w:rFonts w:hint="eastAsia"/>
                <w:bCs/>
                <w:sz w:val="24"/>
                <w:szCs w:val="24"/>
              </w:rPr>
              <w:t>、高</w:t>
            </w:r>
            <w:r>
              <w:rPr>
                <w:bCs/>
                <w:sz w:val="24"/>
                <w:szCs w:val="24"/>
              </w:rPr>
              <w:t>倍率性能等本征优势，是</w:t>
            </w:r>
            <w:r>
              <w:rPr>
                <w:rFonts w:hint="eastAsia"/>
                <w:bCs/>
                <w:sz w:val="24"/>
                <w:szCs w:val="24"/>
              </w:rPr>
              <w:t>推动</w:t>
            </w:r>
            <w:r>
              <w:rPr>
                <w:bCs/>
                <w:sz w:val="24"/>
                <w:szCs w:val="24"/>
              </w:rPr>
              <w:t>钠离子电池</w:t>
            </w:r>
            <w:r>
              <w:rPr>
                <w:rFonts w:hint="eastAsia"/>
                <w:bCs/>
                <w:sz w:val="24"/>
                <w:szCs w:val="24"/>
              </w:rPr>
              <w:t>产业化</w:t>
            </w:r>
            <w:r>
              <w:rPr>
                <w:bCs/>
                <w:sz w:val="24"/>
                <w:szCs w:val="24"/>
              </w:rPr>
              <w:t>应用</w:t>
            </w:r>
            <w:r>
              <w:rPr>
                <w:rFonts w:hint="eastAsia"/>
                <w:bCs/>
                <w:sz w:val="24"/>
                <w:szCs w:val="24"/>
              </w:rPr>
              <w:t>进程</w:t>
            </w:r>
            <w:r>
              <w:rPr>
                <w:bCs/>
                <w:sz w:val="24"/>
                <w:szCs w:val="24"/>
              </w:rPr>
              <w:t>的最佳电极材料组合。然而，钠离子较大的离子半径和缓慢的反应动力学导致聚阴离子正极材料和硬碳负极材依然存在工作</w:t>
            </w:r>
            <w:r>
              <w:rPr>
                <w:rFonts w:hint="eastAsia"/>
                <w:bCs/>
                <w:sz w:val="24"/>
                <w:szCs w:val="24"/>
              </w:rPr>
              <w:t>工作</w:t>
            </w:r>
            <w:r>
              <w:rPr>
                <w:bCs/>
                <w:sz w:val="24"/>
                <w:szCs w:val="24"/>
              </w:rPr>
              <w:t>电压窗口窄、</w:t>
            </w:r>
            <w:r>
              <w:rPr>
                <w:rFonts w:hint="eastAsia"/>
                <w:bCs/>
                <w:sz w:val="24"/>
                <w:szCs w:val="24"/>
              </w:rPr>
              <w:t>实际</w:t>
            </w:r>
            <w:r>
              <w:rPr>
                <w:bCs/>
                <w:sz w:val="24"/>
                <w:szCs w:val="24"/>
              </w:rPr>
              <w:t>储钠容量低、循环稳定性差等问题，导致钠离子电池难以兼顾高能量密度与长循环寿命。</w:t>
            </w:r>
          </w:p>
          <w:p w14:paraId="0C46D839">
            <w:pPr>
              <w:spacing w:line="440" w:lineRule="exact"/>
              <w:ind w:firstLine="480" w:firstLineChars="200"/>
              <w:rPr>
                <w:bCs/>
                <w:sz w:val="24"/>
                <w:szCs w:val="24"/>
              </w:rPr>
            </w:pPr>
            <w:r>
              <w:rPr>
                <w:bCs/>
                <w:sz w:val="24"/>
                <w:szCs w:val="24"/>
              </w:rPr>
              <w:t>为突破钠离子电池面临的应用瓶颈，本项目协同开展了NASICON型聚阴离子正极材料、硬碳负极材料、多功能粘结剂材料和固态电解质材料的结构设计与界面调控工作，提出了电极材料结构设计新范式，突破了关键电极材料的宏量可控制备技术，阐明了电极材料结构与储钠性能的构效关系，揭示了电极材料本征结构稳定性和电化学性能提升机制；</w:t>
            </w:r>
            <w:r>
              <w:rPr>
                <w:rFonts w:hint="eastAsia"/>
                <w:bCs/>
                <w:sz w:val="24"/>
                <w:szCs w:val="24"/>
              </w:rPr>
              <w:t>在此基础上研制</w:t>
            </w:r>
            <w:r>
              <w:rPr>
                <w:bCs/>
                <w:sz w:val="24"/>
                <w:szCs w:val="24"/>
              </w:rPr>
              <w:t>的钠离子电池基光伏发电储能系统实现了高能量储存效率</w:t>
            </w:r>
            <w:r>
              <w:rPr>
                <w:rFonts w:hint="eastAsia"/>
                <w:bCs/>
                <w:sz w:val="24"/>
                <w:szCs w:val="24"/>
              </w:rPr>
              <w:t>和长循环寿命双重</w:t>
            </w:r>
            <w:r>
              <w:rPr>
                <w:bCs/>
                <w:sz w:val="24"/>
                <w:szCs w:val="24"/>
              </w:rPr>
              <w:t>验证，为我国</w:t>
            </w:r>
            <w:r>
              <w:rPr>
                <w:rFonts w:hint="eastAsia"/>
                <w:bCs/>
                <w:sz w:val="24"/>
                <w:szCs w:val="24"/>
              </w:rPr>
              <w:t>未来</w:t>
            </w:r>
            <w:r>
              <w:rPr>
                <w:bCs/>
                <w:sz w:val="24"/>
                <w:szCs w:val="24"/>
              </w:rPr>
              <w:t>发展面向可再生电能规模</w:t>
            </w:r>
            <w:r>
              <w:rPr>
                <w:rFonts w:hint="eastAsia"/>
                <w:bCs/>
                <w:sz w:val="24"/>
                <w:szCs w:val="24"/>
              </w:rPr>
              <w:t>化</w:t>
            </w:r>
            <w:r>
              <w:rPr>
                <w:bCs/>
                <w:sz w:val="24"/>
                <w:szCs w:val="24"/>
              </w:rPr>
              <w:t>存储的钠离子电池储能产业提供了低成本、</w:t>
            </w:r>
            <w:r>
              <w:rPr>
                <w:rFonts w:hint="eastAsia"/>
                <w:bCs/>
                <w:sz w:val="24"/>
                <w:szCs w:val="24"/>
              </w:rPr>
              <w:t>高安全、</w:t>
            </w:r>
            <w:r>
              <w:rPr>
                <w:bCs/>
                <w:sz w:val="24"/>
                <w:szCs w:val="24"/>
              </w:rPr>
              <w:t>高性能的材料</w:t>
            </w:r>
            <w:r>
              <w:rPr>
                <w:rFonts w:hint="eastAsia"/>
                <w:bCs/>
                <w:sz w:val="24"/>
                <w:szCs w:val="24"/>
              </w:rPr>
              <w:t>设计</w:t>
            </w:r>
            <w:r>
              <w:rPr>
                <w:bCs/>
                <w:sz w:val="24"/>
                <w:szCs w:val="24"/>
              </w:rPr>
              <w:t>基础，技术支撑和理论指导。</w:t>
            </w:r>
          </w:p>
        </w:tc>
      </w:tr>
      <w:bookmarkEnd w:id="9"/>
      <w:tr w14:paraId="72BC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14:paraId="31F47C4D">
            <w:pPr>
              <w:spacing w:line="440" w:lineRule="exact"/>
              <w:jc w:val="center"/>
              <w:rPr>
                <w:b/>
                <w:bCs/>
                <w:sz w:val="24"/>
                <w:szCs w:val="24"/>
              </w:rPr>
            </w:pPr>
            <w:r>
              <w:rPr>
                <w:b/>
                <w:bCs/>
                <w:sz w:val="24"/>
                <w:szCs w:val="24"/>
              </w:rPr>
              <w:t>提名书</w:t>
            </w:r>
          </w:p>
          <w:p w14:paraId="0B515417">
            <w:pPr>
              <w:spacing w:line="440" w:lineRule="exact"/>
              <w:jc w:val="center"/>
              <w:rPr>
                <w:b/>
                <w:bCs/>
                <w:sz w:val="24"/>
                <w:szCs w:val="24"/>
              </w:rPr>
            </w:pPr>
            <w:r>
              <w:rPr>
                <w:b/>
                <w:bCs/>
                <w:sz w:val="24"/>
                <w:szCs w:val="24"/>
              </w:rPr>
              <w:t>相关内容</w:t>
            </w:r>
          </w:p>
        </w:tc>
        <w:tc>
          <w:tcPr>
            <w:tcW w:w="7051" w:type="dxa"/>
            <w:tcBorders>
              <w:left w:val="single" w:color="auto" w:sz="4" w:space="0"/>
            </w:tcBorders>
            <w:vAlign w:val="center"/>
          </w:tcPr>
          <w:p w14:paraId="36F66A85">
            <w:pPr>
              <w:pStyle w:val="9"/>
              <w:numPr>
                <w:ilvl w:val="0"/>
                <w:numId w:val="1"/>
              </w:numPr>
              <w:spacing w:line="440" w:lineRule="exact"/>
              <w:ind w:firstLineChars="0"/>
              <w:rPr>
                <w:b/>
                <w:sz w:val="24"/>
                <w:szCs w:val="24"/>
              </w:rPr>
            </w:pPr>
            <w:r>
              <w:rPr>
                <w:b/>
                <w:sz w:val="24"/>
                <w:szCs w:val="24"/>
              </w:rPr>
              <w:t>代表性论文目录</w:t>
            </w:r>
          </w:p>
          <w:p w14:paraId="7B0F14B3">
            <w:pPr>
              <w:spacing w:line="440" w:lineRule="exact"/>
              <w:rPr>
                <w:bCs/>
                <w:sz w:val="24"/>
                <w:szCs w:val="24"/>
              </w:rPr>
            </w:pPr>
            <w:r>
              <w:rPr>
                <w:rFonts w:hint="eastAsia"/>
                <w:bCs/>
                <w:sz w:val="24"/>
                <w:szCs w:val="24"/>
              </w:rPr>
              <w:t xml:space="preserve">[1] </w:t>
            </w:r>
            <w:r>
              <w:rPr>
                <w:b/>
                <w:sz w:val="24"/>
                <w:szCs w:val="24"/>
              </w:rPr>
              <w:t>Li H,</w:t>
            </w:r>
            <w:r>
              <w:rPr>
                <w:bCs/>
                <w:sz w:val="24"/>
                <w:szCs w:val="24"/>
              </w:rPr>
              <w:t xml:space="preserve"> Guan C, Zhang J, et al. Robust artificial interphases constructed by a versatile protein‐based binder for high‐voltage Na‐ion battery cathodes. </w:t>
            </w:r>
            <w:r>
              <w:rPr>
                <w:b/>
                <w:i/>
                <w:iCs/>
                <w:sz w:val="24"/>
                <w:szCs w:val="24"/>
              </w:rPr>
              <w:t>Advanced Materials,</w:t>
            </w:r>
            <w:r>
              <w:rPr>
                <w:bCs/>
                <w:sz w:val="24"/>
                <w:szCs w:val="24"/>
              </w:rPr>
              <w:t xml:space="preserve"> 2022, 34(29)</w:t>
            </w:r>
            <w:r>
              <w:rPr>
                <w:rFonts w:hint="eastAsia"/>
                <w:bCs/>
                <w:sz w:val="24"/>
                <w:szCs w:val="24"/>
              </w:rPr>
              <w:t>,</w:t>
            </w:r>
            <w:r>
              <w:rPr>
                <w:bCs/>
                <w:sz w:val="24"/>
                <w:szCs w:val="24"/>
              </w:rPr>
              <w:t xml:space="preserve"> 2202624.</w:t>
            </w:r>
          </w:p>
          <w:p w14:paraId="16581085">
            <w:pPr>
              <w:spacing w:line="440" w:lineRule="exact"/>
              <w:rPr>
                <w:bCs/>
                <w:sz w:val="24"/>
                <w:szCs w:val="24"/>
              </w:rPr>
            </w:pPr>
            <w:r>
              <w:rPr>
                <w:rFonts w:hint="eastAsia"/>
                <w:bCs/>
                <w:sz w:val="24"/>
                <w:szCs w:val="24"/>
              </w:rPr>
              <w:t xml:space="preserve">[2] </w:t>
            </w:r>
            <w:r>
              <w:rPr>
                <w:bCs/>
                <w:sz w:val="24"/>
                <w:szCs w:val="24"/>
              </w:rPr>
              <w:t xml:space="preserve">Wu Y, </w:t>
            </w:r>
            <w:r>
              <w:rPr>
                <w:b/>
                <w:sz w:val="24"/>
                <w:szCs w:val="24"/>
              </w:rPr>
              <w:t>Li H</w:t>
            </w:r>
            <w:r>
              <w:rPr>
                <w:rFonts w:hint="eastAsia"/>
                <w:b/>
                <w:sz w:val="24"/>
                <w:szCs w:val="24"/>
              </w:rPr>
              <w:t>*</w:t>
            </w:r>
            <w:r>
              <w:rPr>
                <w:bCs/>
                <w:sz w:val="24"/>
                <w:szCs w:val="24"/>
              </w:rPr>
              <w:t xml:space="preserve">, Liu T, et al. Versatile protein and its subunit biomolecules for advanced rechargeable batteries. </w:t>
            </w:r>
            <w:r>
              <w:rPr>
                <w:b/>
                <w:i/>
                <w:iCs/>
                <w:sz w:val="24"/>
                <w:szCs w:val="24"/>
              </w:rPr>
              <w:t>Advanced Materials</w:t>
            </w:r>
            <w:r>
              <w:rPr>
                <w:bCs/>
                <w:sz w:val="24"/>
                <w:szCs w:val="24"/>
              </w:rPr>
              <w:t>, 2023, 35(48)</w:t>
            </w:r>
            <w:r>
              <w:rPr>
                <w:rFonts w:hint="eastAsia"/>
                <w:bCs/>
                <w:sz w:val="24"/>
                <w:szCs w:val="24"/>
              </w:rPr>
              <w:t xml:space="preserve">, </w:t>
            </w:r>
            <w:r>
              <w:rPr>
                <w:bCs/>
                <w:sz w:val="24"/>
                <w:szCs w:val="24"/>
              </w:rPr>
              <w:t>2305063.</w:t>
            </w:r>
          </w:p>
          <w:p w14:paraId="0FE12B77">
            <w:pPr>
              <w:spacing w:line="440" w:lineRule="exact"/>
              <w:rPr>
                <w:bCs/>
                <w:sz w:val="24"/>
                <w:szCs w:val="24"/>
              </w:rPr>
            </w:pPr>
            <w:r>
              <w:rPr>
                <w:rFonts w:hint="eastAsia"/>
                <w:bCs/>
                <w:sz w:val="24"/>
                <w:szCs w:val="24"/>
              </w:rPr>
              <w:t xml:space="preserve">[3] </w:t>
            </w:r>
            <w:r>
              <w:rPr>
                <w:b/>
                <w:sz w:val="24"/>
                <w:szCs w:val="24"/>
              </w:rPr>
              <w:t>Xu Z</w:t>
            </w:r>
            <w:r>
              <w:rPr>
                <w:bCs/>
                <w:sz w:val="24"/>
                <w:szCs w:val="24"/>
              </w:rPr>
              <w:t xml:space="preserve">, Duan H, Dou Z, et al. Machine learning molecular dynamics simulation identifying weakly negative effect of polyanion rotation on Li-ion migration. </w:t>
            </w:r>
            <w:r>
              <w:rPr>
                <w:b/>
                <w:i/>
                <w:iCs/>
                <w:sz w:val="24"/>
                <w:szCs w:val="24"/>
              </w:rPr>
              <w:t>npj Computational Materials</w:t>
            </w:r>
            <w:r>
              <w:rPr>
                <w:bCs/>
                <w:sz w:val="24"/>
                <w:szCs w:val="24"/>
              </w:rPr>
              <w:t>, 2023, 9(1)</w:t>
            </w:r>
            <w:r>
              <w:rPr>
                <w:rFonts w:hint="eastAsia"/>
                <w:bCs/>
                <w:sz w:val="24"/>
                <w:szCs w:val="24"/>
              </w:rPr>
              <w:t xml:space="preserve">, </w:t>
            </w:r>
            <w:r>
              <w:rPr>
                <w:bCs/>
                <w:sz w:val="24"/>
                <w:szCs w:val="24"/>
              </w:rPr>
              <w:t>105.</w:t>
            </w:r>
          </w:p>
          <w:p w14:paraId="458A0285">
            <w:pPr>
              <w:spacing w:line="440" w:lineRule="exact"/>
              <w:rPr>
                <w:bCs/>
                <w:sz w:val="24"/>
                <w:szCs w:val="24"/>
              </w:rPr>
            </w:pPr>
            <w:r>
              <w:rPr>
                <w:rFonts w:hint="eastAsia"/>
                <w:sz w:val="24"/>
                <w:szCs w:val="24"/>
              </w:rPr>
              <w:t xml:space="preserve">[4] </w:t>
            </w:r>
            <w:r>
              <w:rPr>
                <w:b/>
                <w:sz w:val="24"/>
                <w:szCs w:val="24"/>
              </w:rPr>
              <w:t>Chen Y</w:t>
            </w:r>
            <w:r>
              <w:rPr>
                <w:bCs/>
                <w:sz w:val="24"/>
                <w:szCs w:val="24"/>
              </w:rPr>
              <w:t xml:space="preserve">, </w:t>
            </w:r>
            <w:r>
              <w:rPr>
                <w:b/>
                <w:sz w:val="24"/>
                <w:szCs w:val="24"/>
              </w:rPr>
              <w:t>Shi X</w:t>
            </w:r>
            <w:r>
              <w:rPr>
                <w:rFonts w:hint="eastAsia"/>
                <w:b/>
                <w:sz w:val="24"/>
                <w:szCs w:val="24"/>
              </w:rPr>
              <w:t>*</w:t>
            </w:r>
            <w:r>
              <w:rPr>
                <w:bCs/>
                <w:sz w:val="24"/>
                <w:szCs w:val="24"/>
              </w:rPr>
              <w:t xml:space="preserve">, Lu B, et al. Concave engineering of hollow carbon spheres toward advanced anode material for sodium/potassium‐ion batteries. </w:t>
            </w:r>
            <w:r>
              <w:rPr>
                <w:b/>
                <w:i/>
                <w:iCs/>
                <w:sz w:val="24"/>
                <w:szCs w:val="24"/>
              </w:rPr>
              <w:t>Advanced Energy Materials</w:t>
            </w:r>
            <w:r>
              <w:rPr>
                <w:bCs/>
                <w:sz w:val="24"/>
                <w:szCs w:val="24"/>
              </w:rPr>
              <w:t>, 2022, 12(46)</w:t>
            </w:r>
            <w:r>
              <w:rPr>
                <w:rFonts w:hint="eastAsia"/>
                <w:bCs/>
                <w:sz w:val="24"/>
                <w:szCs w:val="24"/>
              </w:rPr>
              <w:t>,</w:t>
            </w:r>
            <w:r>
              <w:rPr>
                <w:bCs/>
                <w:sz w:val="24"/>
                <w:szCs w:val="24"/>
              </w:rPr>
              <w:t xml:space="preserve"> 2202851.</w:t>
            </w:r>
          </w:p>
          <w:p w14:paraId="7858722D">
            <w:pPr>
              <w:spacing w:line="440" w:lineRule="exact"/>
              <w:rPr>
                <w:bCs/>
                <w:sz w:val="24"/>
                <w:szCs w:val="24"/>
              </w:rPr>
            </w:pPr>
            <w:r>
              <w:rPr>
                <w:rFonts w:hint="eastAsia"/>
                <w:bCs/>
                <w:sz w:val="24"/>
                <w:szCs w:val="24"/>
              </w:rPr>
              <w:t>[5]</w:t>
            </w:r>
            <w:r>
              <w:rPr>
                <w:rFonts w:ascii="Arial" w:hAnsi="Arial" w:cs="Arial"/>
                <w:color w:val="222222"/>
                <w:sz w:val="20"/>
                <w:shd w:val="clear" w:color="auto" w:fill="FFFFFF"/>
              </w:rPr>
              <w:t xml:space="preserve"> </w:t>
            </w:r>
            <w:r>
              <w:rPr>
                <w:b/>
                <w:sz w:val="24"/>
                <w:szCs w:val="24"/>
              </w:rPr>
              <w:t>Li H</w:t>
            </w:r>
            <w:r>
              <w:rPr>
                <w:bCs/>
                <w:sz w:val="24"/>
                <w:szCs w:val="24"/>
              </w:rPr>
              <w:t>, Jin T, Chen X, et al. Rational architecture design enables superior Na storage in greener NASICON‐Na</w:t>
            </w:r>
            <w:r>
              <w:rPr>
                <w:bCs/>
                <w:sz w:val="24"/>
                <w:szCs w:val="24"/>
                <w:vertAlign w:val="subscript"/>
              </w:rPr>
              <w:t>4</w:t>
            </w:r>
            <w:r>
              <w:rPr>
                <w:bCs/>
                <w:sz w:val="24"/>
                <w:szCs w:val="24"/>
              </w:rPr>
              <w:t>MnV(PO</w:t>
            </w:r>
            <w:r>
              <w:rPr>
                <w:bCs/>
                <w:sz w:val="24"/>
                <w:szCs w:val="24"/>
                <w:vertAlign w:val="subscript"/>
              </w:rPr>
              <w:t>4</w:t>
            </w:r>
            <w:r>
              <w:rPr>
                <w:bCs/>
                <w:sz w:val="24"/>
                <w:szCs w:val="24"/>
              </w:rPr>
              <w:t>)</w:t>
            </w:r>
            <w:r>
              <w:rPr>
                <w:bCs/>
                <w:sz w:val="24"/>
                <w:szCs w:val="24"/>
                <w:vertAlign w:val="subscript"/>
              </w:rPr>
              <w:t>3</w:t>
            </w:r>
            <w:r>
              <w:rPr>
                <w:bCs/>
                <w:sz w:val="24"/>
                <w:szCs w:val="24"/>
              </w:rPr>
              <w:t xml:space="preserve"> cathode. </w:t>
            </w:r>
            <w:r>
              <w:rPr>
                <w:b/>
                <w:i/>
                <w:iCs/>
                <w:sz w:val="24"/>
                <w:szCs w:val="24"/>
              </w:rPr>
              <w:t>Advanced Energy Materials</w:t>
            </w:r>
            <w:r>
              <w:rPr>
                <w:bCs/>
                <w:sz w:val="24"/>
                <w:szCs w:val="24"/>
              </w:rPr>
              <w:t>, 2018, 8(24)</w:t>
            </w:r>
            <w:r>
              <w:rPr>
                <w:rFonts w:hint="eastAsia"/>
                <w:bCs/>
                <w:sz w:val="24"/>
                <w:szCs w:val="24"/>
              </w:rPr>
              <w:t>,</w:t>
            </w:r>
            <w:r>
              <w:rPr>
                <w:bCs/>
                <w:sz w:val="24"/>
                <w:szCs w:val="24"/>
              </w:rPr>
              <w:t xml:space="preserve"> 1801418.</w:t>
            </w:r>
          </w:p>
          <w:p w14:paraId="22EF4D1B">
            <w:pPr>
              <w:spacing w:line="440" w:lineRule="exact"/>
            </w:pPr>
            <w:r>
              <w:rPr>
                <w:rFonts w:hint="eastAsia"/>
                <w:bCs/>
                <w:sz w:val="24"/>
                <w:szCs w:val="24"/>
              </w:rPr>
              <w:t>[6]</w:t>
            </w:r>
            <w:r>
              <w:rPr>
                <w:rFonts w:ascii="Arial" w:hAnsi="Arial" w:cs="Arial"/>
                <w:color w:val="222222"/>
                <w:sz w:val="20"/>
                <w:shd w:val="clear" w:color="auto" w:fill="FFFFFF"/>
              </w:rPr>
              <w:t xml:space="preserve"> </w:t>
            </w:r>
            <w:bookmarkStart w:id="13" w:name="OLE_LINK1"/>
            <w:r>
              <w:rPr>
                <w:b/>
                <w:sz w:val="24"/>
                <w:szCs w:val="24"/>
              </w:rPr>
              <w:t>Shi X</w:t>
            </w:r>
            <w:r>
              <w:rPr>
                <w:bCs/>
                <w:sz w:val="24"/>
                <w:szCs w:val="24"/>
              </w:rPr>
              <w:t xml:space="preserve">, </w:t>
            </w:r>
            <w:r>
              <w:rPr>
                <w:b/>
                <w:sz w:val="24"/>
                <w:szCs w:val="24"/>
              </w:rPr>
              <w:t>Xu Z</w:t>
            </w:r>
            <w:r>
              <w:rPr>
                <w:bCs/>
                <w:sz w:val="24"/>
                <w:szCs w:val="24"/>
              </w:rPr>
              <w:t xml:space="preserve">, Han C, et al. Highly dispersed cobalt nanoparticles embedded in nitrogen-doped graphitized carbon for fast and durable potassium storage. </w:t>
            </w:r>
            <w:r>
              <w:rPr>
                <w:b/>
                <w:i/>
                <w:iCs/>
                <w:sz w:val="24"/>
                <w:szCs w:val="24"/>
              </w:rPr>
              <w:t>Nano-Micro Letters</w:t>
            </w:r>
            <w:r>
              <w:rPr>
                <w:bCs/>
                <w:sz w:val="24"/>
                <w:szCs w:val="24"/>
              </w:rPr>
              <w:t>, 2021, 13(1)</w:t>
            </w:r>
            <w:r>
              <w:rPr>
                <w:rFonts w:hint="eastAsia"/>
                <w:bCs/>
                <w:sz w:val="24"/>
                <w:szCs w:val="24"/>
              </w:rPr>
              <w:t xml:space="preserve">, </w:t>
            </w:r>
            <w:r>
              <w:rPr>
                <w:bCs/>
                <w:sz w:val="24"/>
                <w:szCs w:val="24"/>
              </w:rPr>
              <w:t>21.</w:t>
            </w:r>
            <w:bookmarkEnd w:id="13"/>
          </w:p>
          <w:p w14:paraId="0516F221">
            <w:pPr>
              <w:spacing w:line="440" w:lineRule="exact"/>
              <w:rPr>
                <w:bCs/>
                <w:sz w:val="24"/>
                <w:szCs w:val="24"/>
              </w:rPr>
            </w:pPr>
            <w:r>
              <w:rPr>
                <w:bCs/>
                <w:sz w:val="24"/>
                <w:szCs w:val="24"/>
              </w:rPr>
              <w:t>[</w:t>
            </w:r>
            <w:r>
              <w:rPr>
                <w:rFonts w:hint="eastAsia"/>
                <w:bCs/>
                <w:sz w:val="24"/>
                <w:szCs w:val="24"/>
              </w:rPr>
              <w:t>7</w:t>
            </w:r>
            <w:r>
              <w:rPr>
                <w:bCs/>
                <w:sz w:val="24"/>
                <w:szCs w:val="24"/>
              </w:rPr>
              <w:t xml:space="preserve">] </w:t>
            </w:r>
            <w:r>
              <w:rPr>
                <w:b/>
                <w:sz w:val="24"/>
                <w:szCs w:val="24"/>
              </w:rPr>
              <w:t>Li H</w:t>
            </w:r>
            <w:r>
              <w:rPr>
                <w:bCs/>
                <w:sz w:val="24"/>
                <w:szCs w:val="24"/>
              </w:rPr>
              <w:t xml:space="preserve">, </w:t>
            </w:r>
            <w:r>
              <w:rPr>
                <w:b/>
                <w:sz w:val="24"/>
                <w:szCs w:val="24"/>
              </w:rPr>
              <w:t>Xu M</w:t>
            </w:r>
            <w:r>
              <w:rPr>
                <w:rFonts w:hint="eastAsia"/>
                <w:b/>
                <w:sz w:val="24"/>
                <w:szCs w:val="24"/>
              </w:rPr>
              <w:t>*</w:t>
            </w:r>
            <w:r>
              <w:rPr>
                <w:b/>
                <w:sz w:val="24"/>
                <w:szCs w:val="24"/>
              </w:rPr>
              <w:t>,</w:t>
            </w:r>
            <w:r>
              <w:rPr>
                <w:bCs/>
                <w:sz w:val="24"/>
                <w:szCs w:val="24"/>
              </w:rPr>
              <w:t xml:space="preserve"> Long H, et al. Stabilization of multicationic redox chemistry in polyanionic cathode by increasing entropy. </w:t>
            </w:r>
            <w:r>
              <w:rPr>
                <w:b/>
                <w:i/>
                <w:iCs/>
                <w:sz w:val="24"/>
                <w:szCs w:val="24"/>
              </w:rPr>
              <w:t>Advanced Science</w:t>
            </w:r>
            <w:r>
              <w:rPr>
                <w:bCs/>
                <w:sz w:val="24"/>
                <w:szCs w:val="24"/>
              </w:rPr>
              <w:t>, 2022, 9(25)</w:t>
            </w:r>
            <w:r>
              <w:rPr>
                <w:rFonts w:hint="eastAsia"/>
                <w:bCs/>
                <w:sz w:val="24"/>
                <w:szCs w:val="24"/>
              </w:rPr>
              <w:t>,</w:t>
            </w:r>
            <w:r>
              <w:rPr>
                <w:bCs/>
                <w:sz w:val="24"/>
                <w:szCs w:val="24"/>
              </w:rPr>
              <w:t xml:space="preserve"> 2202082.</w:t>
            </w:r>
          </w:p>
          <w:p w14:paraId="5C87AA1E">
            <w:pPr>
              <w:spacing w:line="440" w:lineRule="exact"/>
              <w:rPr>
                <w:bCs/>
                <w:sz w:val="24"/>
                <w:szCs w:val="24"/>
              </w:rPr>
            </w:pPr>
            <w:r>
              <w:rPr>
                <w:rFonts w:hint="eastAsia"/>
                <w:bCs/>
                <w:sz w:val="24"/>
                <w:szCs w:val="24"/>
              </w:rPr>
              <w:t xml:space="preserve">[8] </w:t>
            </w:r>
            <w:r>
              <w:rPr>
                <w:b/>
                <w:sz w:val="24"/>
                <w:szCs w:val="24"/>
              </w:rPr>
              <w:t>Chen Y</w:t>
            </w:r>
            <w:r>
              <w:rPr>
                <w:rFonts w:hint="eastAsia"/>
                <w:bCs/>
                <w:sz w:val="24"/>
                <w:szCs w:val="24"/>
              </w:rPr>
              <w:t>*</w:t>
            </w:r>
            <w:r>
              <w:rPr>
                <w:bCs/>
                <w:sz w:val="24"/>
                <w:szCs w:val="24"/>
              </w:rPr>
              <w:t xml:space="preserve">, Zhao X, He J, et al. Engineering Stress-Release Structures Based on Biological Swelling in Carbon Fibers for Stable Sodium Ion Storage. </w:t>
            </w:r>
            <w:bookmarkStart w:id="14" w:name="OLE_LINK2"/>
            <w:r>
              <w:rPr>
                <w:b/>
                <w:i/>
                <w:iCs/>
                <w:sz w:val="24"/>
                <w:szCs w:val="24"/>
              </w:rPr>
              <w:t>ACS Applied Energy Materials</w:t>
            </w:r>
            <w:bookmarkEnd w:id="14"/>
            <w:r>
              <w:rPr>
                <w:bCs/>
                <w:sz w:val="24"/>
                <w:szCs w:val="24"/>
              </w:rPr>
              <w:t>, 2022, 5(5)</w:t>
            </w:r>
            <w:r>
              <w:rPr>
                <w:rFonts w:hint="eastAsia"/>
                <w:bCs/>
                <w:sz w:val="24"/>
                <w:szCs w:val="24"/>
              </w:rPr>
              <w:t>,</w:t>
            </w:r>
            <w:r>
              <w:rPr>
                <w:bCs/>
                <w:sz w:val="24"/>
                <w:szCs w:val="24"/>
              </w:rPr>
              <w:t xml:space="preserve"> 6091-6099.</w:t>
            </w:r>
          </w:p>
          <w:p w14:paraId="0CDCE912">
            <w:pPr>
              <w:pStyle w:val="9"/>
              <w:numPr>
                <w:ilvl w:val="0"/>
                <w:numId w:val="1"/>
              </w:numPr>
              <w:spacing w:line="440" w:lineRule="exact"/>
              <w:ind w:firstLineChars="0"/>
              <w:rPr>
                <w:b/>
                <w:sz w:val="24"/>
                <w:szCs w:val="24"/>
              </w:rPr>
            </w:pPr>
            <w:r>
              <w:rPr>
                <w:b/>
                <w:sz w:val="24"/>
                <w:szCs w:val="24"/>
              </w:rPr>
              <w:t>主要知识产权目录</w:t>
            </w:r>
          </w:p>
          <w:p w14:paraId="550EF39C">
            <w:pPr>
              <w:spacing w:line="440" w:lineRule="exact"/>
              <w:rPr>
                <w:bCs/>
                <w:sz w:val="24"/>
                <w:szCs w:val="24"/>
              </w:rPr>
            </w:pPr>
            <w:r>
              <w:rPr>
                <w:rFonts w:hint="eastAsia"/>
                <w:bCs/>
                <w:sz w:val="24"/>
                <w:szCs w:val="24"/>
              </w:rPr>
              <w:t xml:space="preserve">[1] </w:t>
            </w:r>
            <w:r>
              <w:rPr>
                <w:rFonts w:hint="eastAsia"/>
                <w:b/>
                <w:sz w:val="24"/>
                <w:szCs w:val="24"/>
              </w:rPr>
              <w:t>史晓东</w:t>
            </w:r>
            <w:r>
              <w:rPr>
                <w:rFonts w:hint="eastAsia"/>
                <w:bCs/>
                <w:sz w:val="24"/>
                <w:szCs w:val="24"/>
              </w:rPr>
              <w:t>. 一种钠离子电池硫掺杂多孔碳材料及其制备方法. ZL201610319770.5 授权公告日2018.02.27</w:t>
            </w:r>
          </w:p>
          <w:p w14:paraId="2FF6913E">
            <w:pPr>
              <w:spacing w:line="440" w:lineRule="exact"/>
              <w:rPr>
                <w:bCs/>
                <w:sz w:val="24"/>
                <w:szCs w:val="24"/>
              </w:rPr>
            </w:pPr>
            <w:r>
              <w:rPr>
                <w:rFonts w:hint="eastAsia"/>
                <w:bCs/>
                <w:sz w:val="24"/>
                <w:szCs w:val="24"/>
              </w:rPr>
              <w:t xml:space="preserve">[2] </w:t>
            </w:r>
            <w:r>
              <w:rPr>
                <w:rFonts w:hint="eastAsia"/>
                <w:b/>
                <w:sz w:val="24"/>
                <w:szCs w:val="24"/>
              </w:rPr>
              <w:t>史晓东</w:t>
            </w:r>
            <w:r>
              <w:rPr>
                <w:rFonts w:hint="eastAsia"/>
                <w:bCs/>
                <w:sz w:val="24"/>
                <w:szCs w:val="24"/>
              </w:rPr>
              <w:t>. 一种钠离子电池二硒化铁/硫掺杂石墨烯负极复合材料及其制备方法. ZL201510717165.5 授权公告日2018.02.23</w:t>
            </w:r>
          </w:p>
          <w:p w14:paraId="1D6EA0AF">
            <w:pPr>
              <w:spacing w:line="440" w:lineRule="exact"/>
              <w:rPr>
                <w:bCs/>
                <w:sz w:val="24"/>
                <w:szCs w:val="24"/>
              </w:rPr>
            </w:pPr>
            <w:r>
              <w:rPr>
                <w:rFonts w:hint="eastAsia"/>
                <w:bCs/>
                <w:sz w:val="24"/>
                <w:szCs w:val="24"/>
              </w:rPr>
              <w:t xml:space="preserve">[3] </w:t>
            </w:r>
            <w:r>
              <w:rPr>
                <w:rFonts w:hint="eastAsia"/>
                <w:b/>
                <w:sz w:val="24"/>
                <w:szCs w:val="24"/>
              </w:rPr>
              <w:t>史晓东</w:t>
            </w:r>
            <w:r>
              <w:rPr>
                <w:rFonts w:hint="eastAsia"/>
                <w:bCs/>
                <w:sz w:val="24"/>
                <w:szCs w:val="24"/>
              </w:rPr>
              <w:t xml:space="preserve">. 一种钠离子电池过渡金属磷化物/多孔碳负极复合材料及其制备方法. ZL201610452201.4 授权公告日2018.09.14 </w:t>
            </w:r>
          </w:p>
          <w:p w14:paraId="2158C53A">
            <w:pPr>
              <w:spacing w:line="440" w:lineRule="exact"/>
              <w:rPr>
                <w:bCs/>
                <w:sz w:val="24"/>
                <w:szCs w:val="24"/>
              </w:rPr>
            </w:pPr>
            <w:r>
              <w:rPr>
                <w:rFonts w:hint="eastAsia"/>
                <w:bCs/>
                <w:sz w:val="24"/>
                <w:szCs w:val="24"/>
              </w:rPr>
              <w:t>[4]</w:t>
            </w:r>
            <w:r>
              <w:rPr>
                <w:bCs/>
                <w:sz w:val="24"/>
                <w:szCs w:val="24"/>
              </w:rPr>
              <w:t xml:space="preserve"> </w:t>
            </w:r>
            <w:r>
              <w:rPr>
                <w:b/>
                <w:sz w:val="24"/>
                <w:szCs w:val="24"/>
              </w:rPr>
              <w:t>陈玉祥</w:t>
            </w:r>
            <w:r>
              <w:rPr>
                <w:bCs/>
                <w:sz w:val="24"/>
                <w:szCs w:val="24"/>
              </w:rPr>
              <w:t>，</w:t>
            </w:r>
            <w:r>
              <w:rPr>
                <w:rFonts w:hint="eastAsia"/>
                <w:b/>
                <w:sz w:val="24"/>
                <w:szCs w:val="24"/>
              </w:rPr>
              <w:t>史晓东</w:t>
            </w:r>
            <w:r>
              <w:rPr>
                <w:bCs/>
                <w:sz w:val="24"/>
                <w:szCs w:val="24"/>
              </w:rPr>
              <w:t>. 一种</w:t>
            </w:r>
            <w:r>
              <w:rPr>
                <w:rFonts w:hint="eastAsia"/>
                <w:bCs/>
                <w:sz w:val="24"/>
                <w:szCs w:val="24"/>
              </w:rPr>
              <w:t>钠离子电池碳负极材料及其制备方法</w:t>
            </w:r>
            <w:r>
              <w:rPr>
                <w:bCs/>
                <w:sz w:val="24"/>
                <w:szCs w:val="24"/>
              </w:rPr>
              <w:t>. ZL</w:t>
            </w:r>
            <w:r>
              <w:rPr>
                <w:rFonts w:hint="eastAsia"/>
                <w:bCs/>
                <w:sz w:val="24"/>
                <w:szCs w:val="24"/>
              </w:rPr>
              <w:t>201610402215.5</w:t>
            </w:r>
            <w:r>
              <w:rPr>
                <w:bCs/>
                <w:sz w:val="24"/>
                <w:szCs w:val="24"/>
              </w:rPr>
              <w:t>授权公告日2018.</w:t>
            </w:r>
            <w:r>
              <w:rPr>
                <w:rFonts w:hint="eastAsia"/>
                <w:bCs/>
                <w:sz w:val="24"/>
                <w:szCs w:val="24"/>
              </w:rPr>
              <w:t>09</w:t>
            </w:r>
            <w:r>
              <w:rPr>
                <w:bCs/>
                <w:sz w:val="24"/>
                <w:szCs w:val="24"/>
              </w:rPr>
              <w:t>.</w:t>
            </w:r>
            <w:r>
              <w:rPr>
                <w:rFonts w:hint="eastAsia"/>
                <w:bCs/>
                <w:sz w:val="24"/>
                <w:szCs w:val="24"/>
              </w:rPr>
              <w:t>11</w:t>
            </w:r>
          </w:p>
          <w:p w14:paraId="4A13C016">
            <w:pPr>
              <w:spacing w:line="440" w:lineRule="exact"/>
              <w:rPr>
                <w:bCs/>
                <w:sz w:val="24"/>
                <w:szCs w:val="24"/>
              </w:rPr>
            </w:pPr>
            <w:bookmarkStart w:id="15" w:name="OLE_LINK3"/>
            <w:r>
              <w:rPr>
                <w:rFonts w:hint="eastAsia"/>
                <w:bCs/>
                <w:sz w:val="24"/>
                <w:szCs w:val="24"/>
              </w:rPr>
              <w:t>[5]</w:t>
            </w:r>
            <w:r>
              <w:rPr>
                <w:bCs/>
                <w:sz w:val="24"/>
                <w:szCs w:val="24"/>
              </w:rPr>
              <w:t xml:space="preserve"> </w:t>
            </w:r>
            <w:r>
              <w:rPr>
                <w:b/>
                <w:sz w:val="24"/>
                <w:szCs w:val="24"/>
              </w:rPr>
              <w:t>陈玉祥</w:t>
            </w:r>
            <w:r>
              <w:rPr>
                <w:bCs/>
                <w:sz w:val="24"/>
                <w:szCs w:val="24"/>
              </w:rPr>
              <w:t>. 一种碳纳米片矩阵材料的制备方法及其在钠离子电池中的应用. ZL201610969030.2授权公告日2018.11.20</w:t>
            </w:r>
            <w:bookmarkEnd w:id="15"/>
          </w:p>
        </w:tc>
      </w:tr>
      <w:tr w14:paraId="4CED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14:paraId="5242FFA3">
            <w:pPr>
              <w:spacing w:line="440" w:lineRule="exact"/>
              <w:jc w:val="center"/>
              <w:rPr>
                <w:b/>
                <w:bCs/>
                <w:sz w:val="24"/>
                <w:szCs w:val="24"/>
              </w:rPr>
            </w:pPr>
            <w:r>
              <w:rPr>
                <w:b/>
                <w:bCs/>
                <w:sz w:val="24"/>
                <w:szCs w:val="24"/>
              </w:rPr>
              <w:t>主要完成人</w:t>
            </w:r>
          </w:p>
          <w:p w14:paraId="6F560121">
            <w:pPr>
              <w:spacing w:line="440" w:lineRule="exact"/>
              <w:jc w:val="center"/>
              <w:rPr>
                <w:lang w:val="en"/>
              </w:rPr>
            </w:pPr>
            <w:r>
              <w:rPr>
                <w:b/>
                <w:bCs/>
                <w:sz w:val="24"/>
                <w:szCs w:val="24"/>
                <w:lang w:val="en"/>
              </w:rPr>
              <w:t>（排序、工作单位和贡献）</w:t>
            </w:r>
          </w:p>
        </w:tc>
        <w:tc>
          <w:tcPr>
            <w:tcW w:w="7051" w:type="dxa"/>
            <w:vAlign w:val="center"/>
          </w:tcPr>
          <w:p w14:paraId="517644ED">
            <w:pPr>
              <w:spacing w:line="440" w:lineRule="exact"/>
              <w:rPr>
                <w:bCs/>
                <w:sz w:val="24"/>
                <w:szCs w:val="24"/>
              </w:rPr>
            </w:pPr>
            <w:r>
              <w:rPr>
                <w:bCs/>
                <w:sz w:val="24"/>
                <w:szCs w:val="24"/>
              </w:rPr>
              <w:t>史晓东，</w:t>
            </w:r>
            <w:r>
              <w:rPr>
                <w:rFonts w:hint="eastAsia"/>
                <w:bCs/>
                <w:sz w:val="24"/>
                <w:szCs w:val="24"/>
              </w:rPr>
              <w:t>排名1，副研究员，海南大学</w:t>
            </w:r>
          </w:p>
          <w:p w14:paraId="413F0E57">
            <w:pPr>
              <w:spacing w:line="440" w:lineRule="exact"/>
              <w:rPr>
                <w:bCs/>
                <w:sz w:val="24"/>
                <w:szCs w:val="24"/>
              </w:rPr>
            </w:pPr>
            <w:r>
              <w:rPr>
                <w:rFonts w:hint="eastAsia"/>
                <w:bCs/>
                <w:sz w:val="24"/>
                <w:szCs w:val="24"/>
              </w:rPr>
              <w:t>陈玉祥</w:t>
            </w:r>
            <w:r>
              <w:rPr>
                <w:bCs/>
                <w:sz w:val="24"/>
                <w:szCs w:val="24"/>
              </w:rPr>
              <w:t>，</w:t>
            </w:r>
            <w:r>
              <w:rPr>
                <w:rFonts w:hint="eastAsia"/>
                <w:bCs/>
                <w:sz w:val="24"/>
                <w:szCs w:val="24"/>
              </w:rPr>
              <w:t>排名2</w:t>
            </w:r>
            <w:r>
              <w:rPr>
                <w:bCs/>
                <w:sz w:val="24"/>
                <w:szCs w:val="24"/>
              </w:rPr>
              <w:t>，</w:t>
            </w:r>
            <w:r>
              <w:rPr>
                <w:rFonts w:hint="eastAsia"/>
                <w:bCs/>
                <w:sz w:val="24"/>
                <w:szCs w:val="24"/>
              </w:rPr>
              <w:t>教授，昆明理工大学</w:t>
            </w:r>
          </w:p>
          <w:p w14:paraId="49E41F9B">
            <w:pPr>
              <w:spacing w:line="440" w:lineRule="exact"/>
              <w:rPr>
                <w:bCs/>
                <w:sz w:val="24"/>
                <w:szCs w:val="24"/>
              </w:rPr>
            </w:pPr>
            <w:r>
              <w:rPr>
                <w:rFonts w:hint="eastAsia"/>
                <w:bCs/>
                <w:sz w:val="24"/>
                <w:szCs w:val="24"/>
              </w:rPr>
              <w:t>李煌旭</w:t>
            </w:r>
            <w:r>
              <w:rPr>
                <w:bCs/>
                <w:sz w:val="24"/>
                <w:szCs w:val="24"/>
              </w:rPr>
              <w:t>，</w:t>
            </w:r>
            <w:r>
              <w:rPr>
                <w:rFonts w:hint="eastAsia"/>
                <w:bCs/>
                <w:sz w:val="24"/>
                <w:szCs w:val="24"/>
              </w:rPr>
              <w:t>排名3</w:t>
            </w:r>
            <w:r>
              <w:rPr>
                <w:bCs/>
                <w:sz w:val="24"/>
                <w:szCs w:val="24"/>
              </w:rPr>
              <w:t>，</w:t>
            </w:r>
            <w:r>
              <w:rPr>
                <w:rFonts w:hint="eastAsia"/>
                <w:bCs/>
                <w:sz w:val="24"/>
                <w:szCs w:val="24"/>
              </w:rPr>
              <w:t>副研究员，福耀科技大学</w:t>
            </w:r>
          </w:p>
          <w:p w14:paraId="51C39F88">
            <w:pPr>
              <w:spacing w:line="440" w:lineRule="exact"/>
              <w:rPr>
                <w:bCs/>
                <w:sz w:val="24"/>
                <w:szCs w:val="24"/>
              </w:rPr>
            </w:pPr>
            <w:r>
              <w:rPr>
                <w:rFonts w:hint="eastAsia"/>
                <w:bCs/>
                <w:sz w:val="24"/>
                <w:szCs w:val="24"/>
              </w:rPr>
              <w:t>许真铭，排名4，副教授，南京航空航天大学</w:t>
            </w:r>
          </w:p>
          <w:p w14:paraId="0573F790">
            <w:pPr>
              <w:spacing w:line="440" w:lineRule="exact"/>
              <w:rPr>
                <w:bCs/>
                <w:sz w:val="24"/>
                <w:szCs w:val="24"/>
              </w:rPr>
            </w:pPr>
            <w:r>
              <w:rPr>
                <w:rFonts w:hint="eastAsia"/>
                <w:bCs/>
                <w:sz w:val="24"/>
                <w:szCs w:val="24"/>
              </w:rPr>
              <w:t>徐明，排名5，副教授，西安交通大学</w:t>
            </w:r>
          </w:p>
        </w:tc>
      </w:tr>
      <w:tr w14:paraId="5A6AA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14:paraId="3CE121ED">
            <w:pPr>
              <w:spacing w:line="440" w:lineRule="exact"/>
              <w:jc w:val="center"/>
              <w:rPr>
                <w:b/>
                <w:bCs/>
                <w:sz w:val="24"/>
                <w:szCs w:val="24"/>
              </w:rPr>
            </w:pPr>
            <w:r>
              <w:rPr>
                <w:b/>
                <w:bCs/>
                <w:sz w:val="24"/>
                <w:szCs w:val="24"/>
              </w:rPr>
              <w:t>主要完成单位</w:t>
            </w:r>
          </w:p>
          <w:p w14:paraId="23DF44AF">
            <w:pPr>
              <w:pStyle w:val="7"/>
              <w:jc w:val="center"/>
              <w:rPr>
                <w:rFonts w:ascii="Times New Roman" w:hAnsi="Times New Roman"/>
              </w:rPr>
            </w:pPr>
            <w:r>
              <w:rPr>
                <w:rFonts w:ascii="Times New Roman" w:hAnsi="Times New Roman"/>
                <w:b/>
                <w:bCs/>
                <w:sz w:val="24"/>
                <w:szCs w:val="24"/>
              </w:rPr>
              <w:t>（排序和贡献）</w:t>
            </w:r>
          </w:p>
        </w:tc>
        <w:tc>
          <w:tcPr>
            <w:tcW w:w="7051" w:type="dxa"/>
            <w:vAlign w:val="center"/>
          </w:tcPr>
          <w:p w14:paraId="652A319F">
            <w:pPr>
              <w:pStyle w:val="9"/>
              <w:numPr>
                <w:ilvl w:val="0"/>
                <w:numId w:val="2"/>
              </w:numPr>
              <w:spacing w:line="440" w:lineRule="exact"/>
              <w:ind w:firstLineChars="0"/>
              <w:rPr>
                <w:bCs/>
                <w:sz w:val="24"/>
                <w:szCs w:val="24"/>
              </w:rPr>
            </w:pPr>
            <w:r>
              <w:rPr>
                <w:rFonts w:hint="eastAsia"/>
                <w:bCs/>
                <w:sz w:val="24"/>
                <w:szCs w:val="24"/>
              </w:rPr>
              <w:t>海南大学</w:t>
            </w:r>
          </w:p>
          <w:p w14:paraId="1EBE9D25">
            <w:pPr>
              <w:pStyle w:val="9"/>
              <w:numPr>
                <w:ilvl w:val="0"/>
                <w:numId w:val="2"/>
              </w:numPr>
              <w:spacing w:line="440" w:lineRule="exact"/>
              <w:ind w:firstLineChars="0"/>
              <w:rPr>
                <w:bCs/>
                <w:sz w:val="24"/>
                <w:szCs w:val="24"/>
              </w:rPr>
            </w:pPr>
            <w:r>
              <w:rPr>
                <w:rFonts w:hint="eastAsia"/>
                <w:bCs/>
                <w:sz w:val="24"/>
                <w:szCs w:val="24"/>
              </w:rPr>
              <w:t>昆明理工大学</w:t>
            </w:r>
          </w:p>
          <w:p w14:paraId="119F5C00">
            <w:pPr>
              <w:pStyle w:val="9"/>
              <w:numPr>
                <w:ilvl w:val="0"/>
                <w:numId w:val="2"/>
              </w:numPr>
              <w:spacing w:line="440" w:lineRule="exact"/>
              <w:ind w:firstLineChars="0"/>
              <w:rPr>
                <w:bCs/>
                <w:sz w:val="24"/>
                <w:szCs w:val="24"/>
              </w:rPr>
            </w:pPr>
            <w:r>
              <w:rPr>
                <w:rFonts w:hint="eastAsia"/>
                <w:bCs/>
                <w:sz w:val="24"/>
                <w:szCs w:val="24"/>
              </w:rPr>
              <w:t>福耀科技大学</w:t>
            </w:r>
          </w:p>
          <w:p w14:paraId="29993163">
            <w:pPr>
              <w:pStyle w:val="9"/>
              <w:numPr>
                <w:ilvl w:val="0"/>
                <w:numId w:val="2"/>
              </w:numPr>
              <w:spacing w:line="440" w:lineRule="exact"/>
              <w:ind w:firstLineChars="0"/>
              <w:rPr>
                <w:bCs/>
                <w:sz w:val="24"/>
                <w:szCs w:val="24"/>
              </w:rPr>
            </w:pPr>
            <w:r>
              <w:rPr>
                <w:rFonts w:hint="eastAsia"/>
                <w:bCs/>
                <w:sz w:val="24"/>
                <w:szCs w:val="24"/>
              </w:rPr>
              <w:t>南京航空航天大学</w:t>
            </w:r>
          </w:p>
          <w:p w14:paraId="6CAA401E">
            <w:pPr>
              <w:pStyle w:val="9"/>
              <w:numPr>
                <w:ilvl w:val="0"/>
                <w:numId w:val="2"/>
              </w:numPr>
              <w:spacing w:line="440" w:lineRule="exact"/>
              <w:ind w:firstLineChars="0"/>
              <w:jc w:val="left"/>
              <w:rPr>
                <w:bCs/>
                <w:sz w:val="24"/>
                <w:szCs w:val="24"/>
              </w:rPr>
            </w:pPr>
            <w:r>
              <w:rPr>
                <w:rFonts w:hint="eastAsia"/>
                <w:bCs/>
                <w:sz w:val="24"/>
                <w:szCs w:val="24"/>
              </w:rPr>
              <w:t>西安交通大学</w:t>
            </w:r>
          </w:p>
        </w:tc>
      </w:tr>
    </w:tbl>
    <w:p w14:paraId="486965DA">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科学技术合作奖可不用公示，其余奖项必须公示至少7</w:t>
      </w:r>
      <w:r>
        <w:rPr>
          <w:rFonts w:hint="eastAsia"/>
          <w:sz w:val="24"/>
          <w:szCs w:val="24"/>
        </w:rPr>
        <w:t>日。</w:t>
      </w:r>
    </w:p>
    <w:p w14:paraId="0E7524E1">
      <w:pPr>
        <w:spacing w:line="44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decorative"/>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C9F8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1F7BCBC9">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lIns="0" tIns="0" rIns="0" bIns="0"/>
                  </wps:wsp>
                </a:graphicData>
              </a:graphic>
            </wp:anchor>
          </w:drawing>
        </mc:Choice>
        <mc:Fallback>
          <w:pict>
            <v:shape id="_x0000_s1026"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vva&#10;m9QAAAAEAQAADwAAAAAAAAABACAAAAAiAAAAZHJzL2Rvd25yZXYueG1sUEsBAhQAFAAAAAgAh07i&#10;QAOG7nm0AQAAZQMAAA4AAAAAAAAAAQAgAAAAIwEAAGRycy9lMm9Eb2MueG1sUEsFBgAAAAAGAAYA&#10;WQEAAEkFAAAAAA==&#10;">
              <v:fill on="f" focussize="0,0"/>
              <v:stroke on="f"/>
              <v:imagedata o:title=""/>
              <o:lock v:ext="edit" aspectratio="f"/>
              <v:textbox inset="0mm,0mm,0mm,0mm">
                <w:txbxContent>
                  <w:p w14:paraId="1F7BCBC9">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125A6"/>
    <w:multiLevelType w:val="multilevel"/>
    <w:tmpl w:val="226125A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51D93806"/>
    <w:multiLevelType w:val="multilevel"/>
    <w:tmpl w:val="51D938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jJkYWM4YjU5NDc4MWRkNzYxZGM2YjNlZWUzZGEifQ=="/>
  </w:docVars>
  <w:rsids>
    <w:rsidRoot w:val="00DB28A1"/>
    <w:rsid w:val="0000500E"/>
    <w:rsid w:val="00011699"/>
    <w:rsid w:val="000D536A"/>
    <w:rsid w:val="00101C55"/>
    <w:rsid w:val="00102E8B"/>
    <w:rsid w:val="00216E9D"/>
    <w:rsid w:val="00217644"/>
    <w:rsid w:val="00255B77"/>
    <w:rsid w:val="00287C59"/>
    <w:rsid w:val="002A5E53"/>
    <w:rsid w:val="002C1928"/>
    <w:rsid w:val="0031320F"/>
    <w:rsid w:val="003771AF"/>
    <w:rsid w:val="003843C0"/>
    <w:rsid w:val="004B0596"/>
    <w:rsid w:val="004C26F2"/>
    <w:rsid w:val="007556B7"/>
    <w:rsid w:val="00811C6C"/>
    <w:rsid w:val="00945B3F"/>
    <w:rsid w:val="00956972"/>
    <w:rsid w:val="009809AA"/>
    <w:rsid w:val="009F22F1"/>
    <w:rsid w:val="00A0331D"/>
    <w:rsid w:val="00A46842"/>
    <w:rsid w:val="00A470BC"/>
    <w:rsid w:val="00AB6FF4"/>
    <w:rsid w:val="00AD2E58"/>
    <w:rsid w:val="00B24891"/>
    <w:rsid w:val="00B551BD"/>
    <w:rsid w:val="00BC3E7D"/>
    <w:rsid w:val="00C53851"/>
    <w:rsid w:val="00D11E83"/>
    <w:rsid w:val="00DB28A1"/>
    <w:rsid w:val="00DD4331"/>
    <w:rsid w:val="00E567F7"/>
    <w:rsid w:val="00E61C65"/>
    <w:rsid w:val="00EC0EA1"/>
    <w:rsid w:val="00EE5125"/>
    <w:rsid w:val="00F24442"/>
    <w:rsid w:val="00F50433"/>
    <w:rsid w:val="00F76A19"/>
    <w:rsid w:val="00F91996"/>
    <w:rsid w:val="00FC4500"/>
    <w:rsid w:val="1CEF25FC"/>
    <w:rsid w:val="2C825CC0"/>
    <w:rsid w:val="391953AC"/>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basedOn w:val="1"/>
    <w:qFormat/>
    <w:uiPriority w:val="0"/>
    <w:pPr>
      <w:autoSpaceDE w:val="0"/>
      <w:autoSpaceDN w:val="0"/>
      <w:adjustRightInd w:val="0"/>
      <w:jc w:val="left"/>
    </w:pPr>
    <w:rPr>
      <w:rFonts w:ascii="方正仿宋_GBK" w:hAnsi="方正仿宋_GBK"/>
    </w:rPr>
  </w:style>
  <w:style w:type="character" w:customStyle="1" w:styleId="8">
    <w:name w:val="title1"/>
    <w:qFormat/>
    <w:uiPriority w:val="0"/>
    <w:rPr>
      <w:b/>
      <w:bCs/>
      <w:color w:val="999900"/>
      <w:sz w:val="24"/>
      <w:szCs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1517</Words>
  <Characters>2722</Characters>
  <Lines>21</Lines>
  <Paragraphs>6</Paragraphs>
  <TotalTime>104</TotalTime>
  <ScaleCrop>false</ScaleCrop>
  <LinksUpToDate>false</LinksUpToDate>
  <CharactersWithSpaces>2970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2023-05-10T01:40:00Z</dcterms:created>
  <dc:creator>Lenovo</dc:creator>
  <cp:lastModifiedBy>姚静</cp:lastModifiedBy>
  <dcterms:modified xsi:type="dcterms:W3CDTF">2026-01-26T04:13:11Z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19956DD264204C6EACFE593D00FA3774_12</vt:lpwstr>
  </property>
  <property fmtid="{D5CDD505-2E9C-101B-9397-08002B2CF9AE}" pid="4" name="KSOTemplateDocerSaveRecord">
    <vt:lpwstr>eyJoZGlkIjoiZTFlNTFjMTc5ZjlmMmU4OTNkMjgzMDM1MDlmMmIzNmEiLCJ1c2VySWQiOiIxNTY1ODU4NjU1In0=</vt:lpwstr>
  </property>
</Properties>
</file>