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E889">
      <w:pPr>
        <w:jc w:val="left"/>
        <w:rPr>
          <w:rFonts w:ascii="方正小标宋简体" w:hAnsi="方正小标宋简体" w:eastAsia="方正小标宋简体" w:cs="方正小标宋简体"/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</w:rPr>
        <w:t>附件：</w:t>
      </w:r>
    </w:p>
    <w:p w14:paraId="6BFE9B12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24"/>
        </w:rPr>
        <w:t>江苏省科学技术奖公示材料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5250"/>
      </w:tblGrid>
      <w:tr w14:paraId="0267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46" w:type="dxa"/>
            <w:vAlign w:val="center"/>
          </w:tcPr>
          <w:p w14:paraId="218FF06F">
            <w:pPr>
              <w:spacing w:line="360" w:lineRule="auto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项目名称（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自然科学奖、科技进步奖填写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2A07A592">
            <w:pPr>
              <w:spacing w:line="360" w:lineRule="auto"/>
              <w:jc w:val="left"/>
              <w:rPr>
                <w:rFonts w:ascii="Times New Roman" w:hAnsi="Times New Roman" w:eastAsia="华文楷体" w:cs="Times New Roman"/>
                <w:sz w:val="22"/>
              </w:rPr>
            </w:pPr>
            <w:r>
              <w:rPr>
                <w:rFonts w:ascii="Times New Roman" w:hAnsi="Times New Roman" w:eastAsia="华文楷体" w:cs="Times New Roman"/>
                <w:sz w:val="22"/>
              </w:rPr>
              <w:t>复杂系统高性能保结构算法理论研究与应用</w:t>
            </w:r>
          </w:p>
        </w:tc>
      </w:tr>
      <w:tr w14:paraId="49D2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46" w:type="dxa"/>
            <w:vAlign w:val="center"/>
          </w:tcPr>
          <w:p w14:paraId="5D175578">
            <w:pPr>
              <w:adjustRightInd w:val="0"/>
              <w:snapToGrid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完成人（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自然科学奖、科技进步奖填写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6336D694">
            <w:pPr>
              <w:rPr>
                <w:rFonts w:ascii="楷体" w:hAnsi="楷体" w:eastAsia="楷体" w:cs="Times New Roman"/>
                <w:sz w:val="22"/>
                <w:szCs w:val="21"/>
              </w:rPr>
            </w:pPr>
            <w:r>
              <w:rPr>
                <w:rFonts w:hint="eastAsia" w:ascii="楷体" w:hAnsi="楷体" w:eastAsia="楷体" w:cs="Times New Roman"/>
                <w:sz w:val="22"/>
                <w:szCs w:val="21"/>
              </w:rPr>
              <w:t>王雨顺、宋永忠、蔡文君、龚跃政、蔡加祥</w:t>
            </w:r>
          </w:p>
        </w:tc>
      </w:tr>
      <w:tr w14:paraId="20D2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6" w:type="dxa"/>
            <w:vAlign w:val="center"/>
          </w:tcPr>
          <w:p w14:paraId="37BCA86B">
            <w:pPr>
              <w:adjustRightInd w:val="0"/>
              <w:snapToGrid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完成单位（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自然科学奖、科技进步奖填写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5B95E730">
            <w:pPr>
              <w:rPr>
                <w:rFonts w:ascii="楷体" w:hAnsi="楷体" w:eastAsia="楷体" w:cs="Times New Roman"/>
                <w:sz w:val="22"/>
                <w:szCs w:val="21"/>
              </w:rPr>
            </w:pPr>
            <w:r>
              <w:rPr>
                <w:rFonts w:hint="eastAsia" w:ascii="楷体" w:hAnsi="楷体" w:eastAsia="楷体" w:cs="Times New Roman"/>
                <w:sz w:val="22"/>
                <w:szCs w:val="21"/>
              </w:rPr>
              <w:t>南京师范大学、南京航空航天大学、淮阴师范学院</w:t>
            </w:r>
          </w:p>
        </w:tc>
      </w:tr>
      <w:tr w14:paraId="78A5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46" w:type="dxa"/>
            <w:vAlign w:val="center"/>
          </w:tcPr>
          <w:p w14:paraId="59AEC2E9">
            <w:pPr>
              <w:adjustRightInd w:val="0"/>
              <w:snapToGrid w:val="0"/>
              <w:jc w:val="left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代表性论文论著目录、主要知识产权和标准规范目录</w:t>
            </w:r>
          </w:p>
          <w:p w14:paraId="207847A1">
            <w:pPr>
              <w:adjustRightInd w:val="0"/>
              <w:snapToGrid w:val="0"/>
              <w:jc w:val="left"/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华文楷体" w:hAnsi="华文楷体" w:eastAsia="华文楷体" w:cs="Times New Roman"/>
                <w:bCs/>
                <w:sz w:val="24"/>
                <w:szCs w:val="24"/>
              </w:rPr>
              <w:t>自然科学奖限</w:t>
            </w:r>
            <w:r>
              <w:rPr>
                <w:rFonts w:hint="eastAsia" w:ascii="华文楷体" w:hAnsi="华文楷体" w:eastAsia="华文楷体" w:cs="Times New Roman"/>
                <w:bCs/>
                <w:color w:val="0000FF"/>
                <w:sz w:val="24"/>
                <w:szCs w:val="24"/>
              </w:rPr>
              <w:t>5篇，</w:t>
            </w:r>
            <w:r>
              <w:rPr>
                <w:rFonts w:hint="eastAsia" w:ascii="华文楷体" w:hAnsi="华文楷体" w:eastAsia="华文楷体" w:cs="Times New Roman"/>
                <w:bCs/>
                <w:sz w:val="24"/>
                <w:szCs w:val="24"/>
              </w:rPr>
              <w:t>科技进步奖限</w:t>
            </w:r>
            <w:r>
              <w:rPr>
                <w:rFonts w:hint="eastAsia" w:ascii="华文楷体" w:hAnsi="华文楷体" w:eastAsia="华文楷体" w:cs="Times New Roman"/>
                <w:bCs/>
                <w:color w:val="0000FF"/>
                <w:sz w:val="24"/>
                <w:szCs w:val="24"/>
              </w:rPr>
              <w:t>10件，</w:t>
            </w:r>
            <w:r>
              <w:rPr>
                <w:rFonts w:hint="eastAsia" w:ascii="华文楷体" w:hAnsi="华文楷体" w:eastAsia="华文楷体" w:cs="Times New Roman"/>
                <w:bCs/>
                <w:sz w:val="24"/>
                <w:szCs w:val="24"/>
              </w:rPr>
              <w:t>青年科技杰出贡献奖限</w:t>
            </w:r>
            <w:r>
              <w:rPr>
                <w:rFonts w:hint="eastAsia" w:ascii="华文楷体" w:hAnsi="华文楷体" w:eastAsia="华文楷体" w:cs="Times New Roman"/>
                <w:bCs/>
                <w:color w:val="0000FF"/>
                <w:sz w:val="24"/>
                <w:szCs w:val="24"/>
              </w:rPr>
              <w:t>8篇</w:t>
            </w:r>
            <w:r>
              <w:rPr>
                <w:rFonts w:hint="eastAsia" w:ascii="华文楷体" w:hAnsi="华文楷体" w:eastAsia="华文楷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华文楷体" w:hAnsi="华文楷体" w:eastAsia="华文楷体" w:cs="Times New Roman"/>
                <w:bCs/>
                <w:color w:val="0000FF"/>
                <w:sz w:val="24"/>
                <w:szCs w:val="24"/>
              </w:rPr>
              <w:t>参考提名书格式填写</w:t>
            </w: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5250" w:type="dxa"/>
            <w:vAlign w:val="center"/>
          </w:tcPr>
          <w:p w14:paraId="41609CF1"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偏微分方程中的保结构算法（论著）/浙江科学技术出版社/秦孟兆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;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王雨顺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2011.</w:t>
            </w:r>
          </w:p>
          <w:p w14:paraId="32719EE5"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 conservative Fourier pseudo-spectral method for the nonlinear Schr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/>
                <w:color w:val="000000"/>
                <w:sz w:val="22"/>
              </w:rPr>
              <w:t>dinger equation/Journal of Computational Physics/Gong, Yuezheng; Cai, Jiangxiang; Wang,Yushun, 328:354-370, 2017.</w:t>
            </w:r>
          </w:p>
          <w:p w14:paraId="4BE98CC2"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Arbitrarily high-order unconditionally energy stable schemes for thermodynamically consistent gradient flow models/SIAM Journal on Scientific Computing/Gong, Yuezheng; Zhao, Jia; Wang, Qi, 42:B135-B156, 2020.</w:t>
            </w:r>
          </w:p>
          <w:p w14:paraId="59C9D8F3"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Two energy-conserved splitting methods for three-dimensional time-domain Maxwell’s equations and the convergence analysis/SIAM Journal on Numerical Ananlysis/Cai, Jiaxiang; Hong, Jialin; Wang, Yushun; Gong, Yuezheng, 53:1918-1940, 2015.</w:t>
            </w:r>
          </w:p>
          <w:p w14:paraId="2F94C063"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Numerical dispersion analysis of a multi-symplectic scheme for the three dimensional Maxwell’s equations/Journal of Computational Physics/Cai, Wenjun; Wang, Yushun; Song, Yongzhong, 234:330-352, 2013.</w:t>
            </w:r>
          </w:p>
        </w:tc>
      </w:tr>
    </w:tbl>
    <w:p w14:paraId="232962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AE14A1"/>
    <w:multiLevelType w:val="multilevel"/>
    <w:tmpl w:val="69AE14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2025-05-23T09:53:55Z</dcterms:created>
  <dc:creator>hp</dc:creator>
  <cp:lastModifiedBy>姚静</cp:lastModifiedBy>
  <dcterms:modified xsi:type="dcterms:W3CDTF">2025-05-23T09:54:06Z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eyJoZGlkIjoiZTFlNTFjMTc5ZjlmMmU4OTNkMjgzMDM1MDlmMmIzNmEiLCJ1c2VySWQiOiIxNTY1ODU4NjU1In0=</vt:lpwstr>
  </property>
  <property fmtid="{D5CDD505-2E9C-101B-9397-08002B2CF9AE}" pid="4" name="ICV">
    <vt:lpwstr>930D30246BB145D3881999721F54341D_12</vt:lpwstr>
  </property>
</Properties>
</file>